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4B1" w:rsidRPr="00EA1CA4" w:rsidRDefault="006C04B1" w:rsidP="00624E04">
      <w:pPr>
        <w:spacing w:line="276" w:lineRule="auto"/>
        <w:ind w:right="142"/>
        <w:jc w:val="both"/>
      </w:pPr>
      <w:bookmarkStart w:id="0" w:name="_GoBack"/>
      <w:bookmarkEnd w:id="0"/>
    </w:p>
    <w:p w:rsidR="00790480" w:rsidRPr="00EA1CA4" w:rsidRDefault="00790480" w:rsidP="00624E04">
      <w:pPr>
        <w:spacing w:line="276" w:lineRule="auto"/>
        <w:ind w:right="142"/>
        <w:jc w:val="both"/>
      </w:pPr>
    </w:p>
    <w:p w:rsidR="00790480" w:rsidRPr="00EA1CA4" w:rsidRDefault="00FC2090" w:rsidP="00624E04">
      <w:pPr>
        <w:spacing w:line="276" w:lineRule="auto"/>
        <w:ind w:right="142"/>
        <w:jc w:val="both"/>
      </w:pPr>
      <w:r w:rsidRPr="00EA1CA4">
        <w:rPr>
          <w:noProof/>
          <w:lang w:val="en-US" w:eastAsia="en-US"/>
        </w:rPr>
        <w:drawing>
          <wp:anchor distT="0" distB="0" distL="114300" distR="114300" simplePos="0" relativeHeight="251659264" behindDoc="0" locked="0" layoutInCell="1" allowOverlap="1">
            <wp:simplePos x="0" y="0"/>
            <wp:positionH relativeFrom="column">
              <wp:posOffset>2543175</wp:posOffset>
            </wp:positionH>
            <wp:positionV relativeFrom="paragraph">
              <wp:posOffset>137795</wp:posOffset>
            </wp:positionV>
            <wp:extent cx="946150" cy="1009650"/>
            <wp:effectExtent l="0" t="0" r="6350" b="0"/>
            <wp:wrapSquare wrapText="bothSides"/>
            <wp:docPr id="3" name="image1.jpg"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stema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1009650"/>
                    </a:xfrm>
                    <a:prstGeom prst="rect">
                      <a:avLst/>
                    </a:prstGeom>
                    <a:noFill/>
                  </pic:spPr>
                </pic:pic>
              </a:graphicData>
            </a:graphic>
          </wp:anchor>
        </w:drawing>
      </w:r>
    </w:p>
    <w:p w:rsidR="0054416D" w:rsidRPr="00EA1CA4" w:rsidRDefault="0054416D" w:rsidP="00624E04">
      <w:pPr>
        <w:spacing w:line="276" w:lineRule="auto"/>
        <w:jc w:val="both"/>
      </w:pPr>
    </w:p>
    <w:p w:rsidR="0054416D" w:rsidRPr="00EA1CA4" w:rsidRDefault="0054416D" w:rsidP="00624E04">
      <w:pPr>
        <w:spacing w:line="276" w:lineRule="auto"/>
        <w:jc w:val="both"/>
      </w:pPr>
    </w:p>
    <w:p w:rsidR="0054416D" w:rsidRPr="00EA1CA4" w:rsidRDefault="0054416D" w:rsidP="00624E04">
      <w:pPr>
        <w:spacing w:line="276" w:lineRule="auto"/>
        <w:jc w:val="both"/>
      </w:pPr>
    </w:p>
    <w:p w:rsidR="0054416D" w:rsidRPr="00EA1CA4" w:rsidRDefault="0054416D" w:rsidP="00624E04">
      <w:pPr>
        <w:spacing w:line="276" w:lineRule="auto"/>
        <w:jc w:val="both"/>
      </w:pPr>
    </w:p>
    <w:p w:rsidR="0054416D" w:rsidRPr="00EA1CA4" w:rsidRDefault="0054416D" w:rsidP="00624E04">
      <w:pPr>
        <w:spacing w:line="276" w:lineRule="auto"/>
        <w:jc w:val="both"/>
      </w:pPr>
    </w:p>
    <w:p w:rsidR="0054416D" w:rsidRPr="00EA1CA4" w:rsidRDefault="0054416D" w:rsidP="00624E04">
      <w:pPr>
        <w:spacing w:line="276" w:lineRule="auto"/>
        <w:jc w:val="both"/>
      </w:pPr>
    </w:p>
    <w:p w:rsidR="0054416D" w:rsidRPr="00EA1CA4" w:rsidRDefault="00887972" w:rsidP="00624E04">
      <w:pPr>
        <w:spacing w:line="276" w:lineRule="auto"/>
        <w:jc w:val="both"/>
        <w:rPr>
          <w:b/>
          <w:color w:val="000000"/>
        </w:rPr>
      </w:pPr>
      <w:r w:rsidRPr="00EA1CA4">
        <w:rPr>
          <w:b/>
          <w:color w:val="000000"/>
        </w:rPr>
        <w:t xml:space="preserve">                                                                 </w:t>
      </w:r>
      <w:r w:rsidR="0054416D" w:rsidRPr="00EA1CA4">
        <w:rPr>
          <w:b/>
          <w:color w:val="000000"/>
        </w:rPr>
        <w:t>Republika e Kosovës</w:t>
      </w:r>
    </w:p>
    <w:p w:rsidR="0054416D" w:rsidRPr="00EA1CA4" w:rsidRDefault="00887972" w:rsidP="00624E04">
      <w:pPr>
        <w:spacing w:line="276" w:lineRule="auto"/>
        <w:jc w:val="both"/>
        <w:rPr>
          <w:b/>
          <w:color w:val="000000"/>
        </w:rPr>
      </w:pPr>
      <w:r w:rsidRPr="00EA1CA4">
        <w:rPr>
          <w:b/>
          <w:color w:val="000000"/>
        </w:rPr>
        <w:t xml:space="preserve">                                              </w:t>
      </w:r>
      <w:r w:rsidR="0054416D" w:rsidRPr="00EA1CA4">
        <w:rPr>
          <w:b/>
          <w:color w:val="000000"/>
        </w:rPr>
        <w:t>Republika Kosova - Republic of Kosovo</w:t>
      </w:r>
    </w:p>
    <w:p w:rsidR="0054416D" w:rsidRPr="00EA1CA4" w:rsidRDefault="00887972" w:rsidP="00624E04">
      <w:pPr>
        <w:spacing w:line="276" w:lineRule="auto"/>
        <w:jc w:val="both"/>
        <w:rPr>
          <w:b/>
          <w:i/>
          <w:color w:val="000000"/>
        </w:rPr>
      </w:pPr>
      <w:r w:rsidRPr="00EA1CA4">
        <w:rPr>
          <w:b/>
          <w:i/>
          <w:color w:val="000000"/>
        </w:rPr>
        <w:t xml:space="preserve">                                                            </w:t>
      </w:r>
      <w:r w:rsidR="0054416D" w:rsidRPr="00EA1CA4">
        <w:rPr>
          <w:b/>
          <w:i/>
          <w:color w:val="000000"/>
        </w:rPr>
        <w:t>Qeveria - Vlada - Government</w:t>
      </w:r>
    </w:p>
    <w:p w:rsidR="0054416D" w:rsidRPr="00EA1CA4" w:rsidRDefault="0054416D" w:rsidP="00624E04">
      <w:pPr>
        <w:spacing w:line="276" w:lineRule="auto"/>
        <w:jc w:val="both"/>
        <w:rPr>
          <w:bCs/>
          <w:color w:val="000000"/>
        </w:rPr>
      </w:pPr>
    </w:p>
    <w:p w:rsidR="0054416D" w:rsidRPr="00EA1CA4" w:rsidRDefault="0054416D" w:rsidP="00624E04">
      <w:pPr>
        <w:spacing w:line="276" w:lineRule="auto"/>
        <w:jc w:val="both"/>
        <w:rPr>
          <w:bCs/>
          <w:color w:val="000000"/>
        </w:rPr>
      </w:pPr>
    </w:p>
    <w:p w:rsidR="00B81AB2" w:rsidRPr="00EA1CA4" w:rsidRDefault="00B81AB2" w:rsidP="00624E04">
      <w:pPr>
        <w:spacing w:line="276" w:lineRule="auto"/>
        <w:jc w:val="both"/>
        <w:rPr>
          <w:bCs/>
          <w:color w:val="000000"/>
        </w:rPr>
      </w:pPr>
    </w:p>
    <w:p w:rsidR="0054416D" w:rsidRPr="00EA1CA4" w:rsidRDefault="00887972" w:rsidP="00624E04">
      <w:pPr>
        <w:spacing w:line="276" w:lineRule="auto"/>
        <w:jc w:val="both"/>
        <w:rPr>
          <w:b/>
          <w:i/>
          <w:color w:val="000000"/>
        </w:rPr>
      </w:pPr>
      <w:r w:rsidRPr="00EA1CA4">
        <w:rPr>
          <w:b/>
          <w:i/>
          <w:color w:val="000000"/>
        </w:rPr>
        <w:t xml:space="preserve">                            </w:t>
      </w:r>
      <w:r w:rsidR="0054416D" w:rsidRPr="00EA1CA4">
        <w:rPr>
          <w:b/>
          <w:i/>
          <w:color w:val="000000"/>
        </w:rPr>
        <w:t>Ministria e Shëndetësisë – Ministarstvo Z</w:t>
      </w:r>
      <w:r w:rsidR="00F07056" w:rsidRPr="00EA1CA4">
        <w:rPr>
          <w:b/>
          <w:i/>
          <w:color w:val="000000"/>
        </w:rPr>
        <w:t>vdr</w:t>
      </w:r>
      <w:r w:rsidR="0054416D" w:rsidRPr="00EA1CA4">
        <w:rPr>
          <w:b/>
          <w:i/>
          <w:color w:val="000000"/>
        </w:rPr>
        <w:t>avstva– Ministry of Health</w:t>
      </w:r>
    </w:p>
    <w:p w:rsidR="0054416D" w:rsidRPr="00EA1CA4" w:rsidRDefault="0054416D" w:rsidP="00624E04">
      <w:pPr>
        <w:spacing w:line="276" w:lineRule="auto"/>
        <w:jc w:val="both"/>
      </w:pPr>
    </w:p>
    <w:p w:rsidR="0054416D" w:rsidRPr="00EA1CA4" w:rsidRDefault="0054416D" w:rsidP="00624E04">
      <w:pPr>
        <w:spacing w:line="276" w:lineRule="auto"/>
        <w:jc w:val="both"/>
      </w:pPr>
    </w:p>
    <w:p w:rsidR="0054416D" w:rsidRPr="00EA1CA4" w:rsidRDefault="0054416D" w:rsidP="00624E04">
      <w:pPr>
        <w:spacing w:line="276" w:lineRule="auto"/>
        <w:jc w:val="both"/>
      </w:pPr>
    </w:p>
    <w:p w:rsidR="0054416D" w:rsidRPr="00EA1CA4" w:rsidRDefault="0054416D" w:rsidP="00624E04">
      <w:pPr>
        <w:spacing w:line="276" w:lineRule="auto"/>
        <w:jc w:val="both"/>
      </w:pPr>
    </w:p>
    <w:p w:rsidR="0054416D" w:rsidRPr="00EA1CA4" w:rsidRDefault="0054416D" w:rsidP="00624E04">
      <w:pPr>
        <w:spacing w:line="276" w:lineRule="auto"/>
        <w:jc w:val="both"/>
      </w:pPr>
    </w:p>
    <w:p w:rsidR="0054416D" w:rsidRPr="00EA1CA4" w:rsidRDefault="0054416D" w:rsidP="00624E04">
      <w:pPr>
        <w:spacing w:line="276" w:lineRule="auto"/>
        <w:jc w:val="both"/>
      </w:pPr>
    </w:p>
    <w:p w:rsidR="0054416D" w:rsidRPr="00EA1CA4" w:rsidRDefault="0054416D" w:rsidP="00624E04">
      <w:pPr>
        <w:spacing w:line="276" w:lineRule="auto"/>
        <w:jc w:val="both"/>
        <w:rPr>
          <w:b/>
        </w:rPr>
      </w:pPr>
    </w:p>
    <w:p w:rsidR="00F26159" w:rsidRPr="00011A46" w:rsidRDefault="00887972" w:rsidP="00BA7283">
      <w:pPr>
        <w:spacing w:line="276" w:lineRule="auto"/>
        <w:jc w:val="center"/>
        <w:rPr>
          <w:b/>
          <w:sz w:val="44"/>
          <w:szCs w:val="44"/>
        </w:rPr>
      </w:pPr>
      <w:r w:rsidRPr="00011A46">
        <w:rPr>
          <w:b/>
          <w:sz w:val="44"/>
          <w:szCs w:val="44"/>
        </w:rPr>
        <w:t xml:space="preserve">PLANI </w:t>
      </w:r>
      <w:r w:rsidR="005E1216" w:rsidRPr="00011A46">
        <w:rPr>
          <w:b/>
          <w:sz w:val="44"/>
          <w:szCs w:val="44"/>
        </w:rPr>
        <w:t xml:space="preserve">I VEPRIMIT </w:t>
      </w:r>
      <w:r w:rsidR="00BA7283" w:rsidRPr="00011A46">
        <w:rPr>
          <w:b/>
          <w:sz w:val="44"/>
          <w:szCs w:val="44"/>
        </w:rPr>
        <w:t>P</w:t>
      </w:r>
      <w:r w:rsidR="00386886" w:rsidRPr="00011A46">
        <w:rPr>
          <w:b/>
          <w:sz w:val="44"/>
          <w:szCs w:val="44"/>
        </w:rPr>
        <w:t>ËR</w:t>
      </w:r>
      <w:r w:rsidR="005E1216" w:rsidRPr="00011A46">
        <w:rPr>
          <w:b/>
          <w:sz w:val="44"/>
          <w:szCs w:val="44"/>
        </w:rPr>
        <w:t xml:space="preserve"> T</w:t>
      </w:r>
      <w:r w:rsidR="00BA7283" w:rsidRPr="00011A46">
        <w:rPr>
          <w:b/>
          <w:sz w:val="44"/>
          <w:szCs w:val="44"/>
        </w:rPr>
        <w:t>UBERKULOZ</w:t>
      </w:r>
    </w:p>
    <w:p w:rsidR="00BA7283" w:rsidRPr="00011A46" w:rsidRDefault="00BA7283" w:rsidP="00BA7283">
      <w:pPr>
        <w:spacing w:line="276" w:lineRule="auto"/>
        <w:jc w:val="center"/>
        <w:rPr>
          <w:b/>
          <w:sz w:val="44"/>
          <w:szCs w:val="44"/>
        </w:rPr>
      </w:pPr>
      <w:r w:rsidRPr="00011A46">
        <w:rPr>
          <w:b/>
          <w:sz w:val="44"/>
          <w:szCs w:val="44"/>
        </w:rPr>
        <w:t>2022 - 2024</w:t>
      </w:r>
    </w:p>
    <w:p w:rsidR="0054416D" w:rsidRPr="00EA1CA4" w:rsidRDefault="0054416D" w:rsidP="00624E04">
      <w:pPr>
        <w:spacing w:line="276" w:lineRule="auto"/>
        <w:jc w:val="both"/>
        <w:rPr>
          <w:b/>
        </w:rPr>
      </w:pPr>
    </w:p>
    <w:p w:rsidR="0054416D" w:rsidRPr="00EA1CA4" w:rsidRDefault="0054416D" w:rsidP="00624E04">
      <w:pPr>
        <w:spacing w:line="276" w:lineRule="auto"/>
        <w:jc w:val="both"/>
        <w:rPr>
          <w:b/>
        </w:rPr>
      </w:pPr>
    </w:p>
    <w:p w:rsidR="0054416D" w:rsidRPr="00EA1CA4" w:rsidRDefault="0054416D" w:rsidP="00624E04">
      <w:pPr>
        <w:spacing w:line="276" w:lineRule="auto"/>
        <w:jc w:val="both"/>
        <w:rPr>
          <w:b/>
        </w:rPr>
      </w:pPr>
    </w:p>
    <w:p w:rsidR="0054416D" w:rsidRPr="00EA1CA4" w:rsidRDefault="0054416D" w:rsidP="00624E04">
      <w:pPr>
        <w:spacing w:line="276" w:lineRule="auto"/>
        <w:jc w:val="both"/>
        <w:rPr>
          <w:b/>
        </w:rPr>
      </w:pPr>
    </w:p>
    <w:p w:rsidR="0054416D" w:rsidRPr="00EA1CA4" w:rsidRDefault="0054416D" w:rsidP="00624E04">
      <w:pPr>
        <w:spacing w:line="276" w:lineRule="auto"/>
        <w:jc w:val="both"/>
        <w:rPr>
          <w:b/>
        </w:rPr>
      </w:pPr>
    </w:p>
    <w:p w:rsidR="0054416D" w:rsidRPr="00EA1CA4" w:rsidRDefault="0054416D" w:rsidP="00624E04">
      <w:pPr>
        <w:spacing w:line="276" w:lineRule="auto"/>
        <w:jc w:val="both"/>
        <w:rPr>
          <w:b/>
        </w:rPr>
      </w:pPr>
    </w:p>
    <w:p w:rsidR="0054416D" w:rsidRPr="00EA1CA4" w:rsidRDefault="0054416D" w:rsidP="00624E04">
      <w:pPr>
        <w:spacing w:line="276" w:lineRule="auto"/>
        <w:jc w:val="both"/>
        <w:rPr>
          <w:b/>
        </w:rPr>
      </w:pPr>
    </w:p>
    <w:p w:rsidR="0054416D" w:rsidRPr="00EA1CA4" w:rsidRDefault="0054416D" w:rsidP="00624E04">
      <w:pPr>
        <w:spacing w:line="276" w:lineRule="auto"/>
        <w:jc w:val="both"/>
        <w:rPr>
          <w:b/>
        </w:rPr>
      </w:pPr>
    </w:p>
    <w:p w:rsidR="0054416D" w:rsidRPr="00EA1CA4" w:rsidRDefault="0054416D" w:rsidP="00624E04">
      <w:pPr>
        <w:spacing w:line="276" w:lineRule="auto"/>
        <w:jc w:val="both"/>
        <w:rPr>
          <w:b/>
        </w:rPr>
      </w:pPr>
    </w:p>
    <w:p w:rsidR="0054416D" w:rsidRPr="00EA1CA4" w:rsidRDefault="0054416D" w:rsidP="00624E04">
      <w:pPr>
        <w:spacing w:line="276" w:lineRule="auto"/>
        <w:jc w:val="both"/>
        <w:rPr>
          <w:b/>
        </w:rPr>
      </w:pPr>
    </w:p>
    <w:p w:rsidR="0054416D" w:rsidRPr="00EA1CA4" w:rsidRDefault="0054416D" w:rsidP="00624E04">
      <w:pPr>
        <w:spacing w:line="276" w:lineRule="auto"/>
        <w:jc w:val="both"/>
        <w:rPr>
          <w:b/>
        </w:rPr>
      </w:pPr>
    </w:p>
    <w:p w:rsidR="0054416D" w:rsidRPr="00EA1CA4" w:rsidRDefault="0054416D" w:rsidP="00624E04">
      <w:pPr>
        <w:spacing w:line="276" w:lineRule="auto"/>
        <w:jc w:val="both"/>
        <w:rPr>
          <w:b/>
        </w:rPr>
      </w:pPr>
    </w:p>
    <w:p w:rsidR="0054416D" w:rsidRPr="00EA1CA4" w:rsidRDefault="0054416D" w:rsidP="00624E04">
      <w:pPr>
        <w:spacing w:line="276" w:lineRule="auto"/>
        <w:jc w:val="both"/>
        <w:rPr>
          <w:b/>
        </w:rPr>
      </w:pPr>
    </w:p>
    <w:p w:rsidR="0054416D" w:rsidRPr="00EA1CA4" w:rsidRDefault="0054416D" w:rsidP="00624E04">
      <w:pPr>
        <w:spacing w:line="276" w:lineRule="auto"/>
        <w:jc w:val="both"/>
        <w:rPr>
          <w:b/>
        </w:rPr>
      </w:pPr>
    </w:p>
    <w:p w:rsidR="0054416D" w:rsidRPr="00EA1CA4" w:rsidRDefault="0054416D" w:rsidP="00624E04">
      <w:pPr>
        <w:spacing w:line="276" w:lineRule="auto"/>
        <w:jc w:val="both"/>
        <w:rPr>
          <w:b/>
        </w:rPr>
      </w:pPr>
    </w:p>
    <w:p w:rsidR="00790480" w:rsidRPr="00EA1CA4" w:rsidRDefault="00790480" w:rsidP="00624E04">
      <w:pPr>
        <w:spacing w:line="276" w:lineRule="auto"/>
        <w:ind w:right="142"/>
        <w:jc w:val="both"/>
      </w:pPr>
    </w:p>
    <w:p w:rsidR="00121B64" w:rsidRPr="00EA1CA4" w:rsidRDefault="007A0591" w:rsidP="007A0591">
      <w:pPr>
        <w:spacing w:line="276" w:lineRule="auto"/>
        <w:jc w:val="center"/>
      </w:pPr>
      <w:r w:rsidRPr="00EA1CA4">
        <w:t>2022</w:t>
      </w:r>
    </w:p>
    <w:p w:rsidR="00624E04" w:rsidRPr="00EA1CA4" w:rsidRDefault="00624E04" w:rsidP="00624E04">
      <w:pPr>
        <w:spacing w:line="276" w:lineRule="auto"/>
        <w:jc w:val="both"/>
      </w:pPr>
    </w:p>
    <w:p w:rsidR="00E63A15" w:rsidRPr="00EA1CA4" w:rsidRDefault="00E63A15" w:rsidP="00624E04">
      <w:pPr>
        <w:spacing w:line="276" w:lineRule="auto"/>
        <w:jc w:val="both"/>
      </w:pPr>
    </w:p>
    <w:p w:rsidR="00121B64" w:rsidRPr="00EA1CA4" w:rsidRDefault="00121B64" w:rsidP="00624E04">
      <w:pPr>
        <w:spacing w:line="276" w:lineRule="auto"/>
        <w:jc w:val="both"/>
      </w:pPr>
    </w:p>
    <w:p w:rsidR="00624E04" w:rsidRPr="00EA1CA4" w:rsidRDefault="00624E04" w:rsidP="00624E04">
      <w:pPr>
        <w:spacing w:line="276" w:lineRule="auto"/>
        <w:jc w:val="both"/>
        <w:rPr>
          <w:b/>
        </w:rPr>
      </w:pPr>
      <w:r w:rsidRPr="00EA1CA4">
        <w:rPr>
          <w:b/>
        </w:rPr>
        <w:t>Shkurtesat</w:t>
      </w:r>
    </w:p>
    <w:p w:rsidR="00624E04" w:rsidRPr="00EA1CA4" w:rsidRDefault="00624E04" w:rsidP="00624E04">
      <w:pPr>
        <w:spacing w:line="276" w:lineRule="auto"/>
        <w:jc w:val="both"/>
      </w:pPr>
    </w:p>
    <w:p w:rsidR="00624E04" w:rsidRPr="00EA1CA4" w:rsidRDefault="00624E04" w:rsidP="00624E04">
      <w:pPr>
        <w:spacing w:line="276" w:lineRule="auto"/>
        <w:jc w:val="both"/>
      </w:pPr>
      <w:r w:rsidRPr="00EA1CA4">
        <w:t>AKMS</w:t>
      </w:r>
      <w:r w:rsidRPr="00EA1CA4">
        <w:tab/>
      </w:r>
      <w:r w:rsidRPr="00EA1CA4">
        <w:tab/>
        <w:t>Avokimi, Komunikimi, Mobilizimi Social</w:t>
      </w:r>
    </w:p>
    <w:p w:rsidR="00624E04" w:rsidRPr="00EA1CA4" w:rsidRDefault="00624E04" w:rsidP="00624E04">
      <w:pPr>
        <w:spacing w:line="276" w:lineRule="auto"/>
        <w:jc w:val="both"/>
      </w:pPr>
      <w:r w:rsidRPr="00EA1CA4">
        <w:t>C19</w:t>
      </w:r>
      <w:r w:rsidRPr="00EA1CA4">
        <w:tab/>
      </w:r>
      <w:r w:rsidRPr="00EA1CA4">
        <w:tab/>
        <w:t xml:space="preserve">Infektimi nga COVID-19 </w:t>
      </w:r>
    </w:p>
    <w:p w:rsidR="00624E04" w:rsidRPr="00EA1CA4" w:rsidRDefault="00624E04" w:rsidP="00624E04">
      <w:pPr>
        <w:spacing w:line="276" w:lineRule="auto"/>
        <w:jc w:val="both"/>
      </w:pPr>
      <w:r w:rsidRPr="00EA1CA4">
        <w:t>MKV</w:t>
      </w:r>
      <w:r w:rsidRPr="00EA1CA4">
        <w:tab/>
      </w:r>
      <w:r w:rsidRPr="00EA1CA4">
        <w:tab/>
        <w:t>Mekanizmi i Koordinimit të Vendit</w:t>
      </w:r>
    </w:p>
    <w:p w:rsidR="00624E04" w:rsidRPr="00EA1CA4" w:rsidRDefault="00624E04" w:rsidP="00624E04">
      <w:pPr>
        <w:spacing w:line="276" w:lineRule="auto"/>
        <w:jc w:val="both"/>
      </w:pPr>
      <w:r w:rsidRPr="00EA1CA4">
        <w:t>FZHK</w:t>
      </w:r>
      <w:r w:rsidRPr="00EA1CA4">
        <w:tab/>
      </w:r>
      <w:r w:rsidRPr="00EA1CA4">
        <w:tab/>
        <w:t>Fondi për Zhvillimin e Komuniteteve</w:t>
      </w:r>
    </w:p>
    <w:p w:rsidR="00624E04" w:rsidRPr="00EA1CA4" w:rsidRDefault="00624E04" w:rsidP="00624E04">
      <w:pPr>
        <w:spacing w:line="276" w:lineRule="auto"/>
        <w:jc w:val="both"/>
      </w:pPr>
      <w:r w:rsidRPr="00EA1CA4">
        <w:t>OSHC</w:t>
      </w:r>
      <w:r w:rsidRPr="00EA1CA4">
        <w:tab/>
      </w:r>
      <w:r w:rsidRPr="00EA1CA4">
        <w:tab/>
        <w:t>Organizatat e Shoqërisë Civile</w:t>
      </w:r>
    </w:p>
    <w:p w:rsidR="00624E04" w:rsidRPr="00EA1CA4" w:rsidRDefault="00624E04" w:rsidP="00624E04">
      <w:pPr>
        <w:spacing w:line="276" w:lineRule="auto"/>
        <w:jc w:val="both"/>
      </w:pPr>
      <w:r w:rsidRPr="00EA1CA4">
        <w:t>FSK</w:t>
      </w:r>
      <w:r w:rsidRPr="00EA1CA4">
        <w:tab/>
      </w:r>
      <w:r w:rsidRPr="00EA1CA4">
        <w:tab/>
        <w:t>Forcimi i Sistemeve të Komunitetit</w:t>
      </w:r>
    </w:p>
    <w:p w:rsidR="00624E04" w:rsidRPr="00EA1CA4" w:rsidRDefault="00624E04" w:rsidP="00624E04">
      <w:pPr>
        <w:spacing w:line="276" w:lineRule="auto"/>
        <w:jc w:val="both"/>
      </w:pPr>
      <w:r w:rsidRPr="00EA1CA4">
        <w:t>RB</w:t>
      </w:r>
      <w:r w:rsidRPr="00EA1CA4">
        <w:tab/>
      </w:r>
      <w:r w:rsidRPr="00EA1CA4">
        <w:tab/>
        <w:t>Rezistent ndaj barnave</w:t>
      </w:r>
    </w:p>
    <w:p w:rsidR="00624E04" w:rsidRPr="00EA1CA4" w:rsidRDefault="00624E04" w:rsidP="00624E04">
      <w:pPr>
        <w:spacing w:line="276" w:lineRule="auto"/>
        <w:jc w:val="both"/>
      </w:pPr>
      <w:r w:rsidRPr="00EA1CA4">
        <w:t>TND</w:t>
      </w:r>
      <w:r w:rsidRPr="00EA1CA4">
        <w:tab/>
      </w:r>
      <w:r w:rsidRPr="00EA1CA4">
        <w:tab/>
        <w:t>Testimi i ndjeshmërisë ndaj drogës</w:t>
      </w:r>
    </w:p>
    <w:p w:rsidR="00624E04" w:rsidRPr="00EA1CA4" w:rsidRDefault="00624E04" w:rsidP="00624E04">
      <w:pPr>
        <w:spacing w:line="276" w:lineRule="auto"/>
        <w:jc w:val="both"/>
      </w:pPr>
      <w:r w:rsidRPr="00EA1CA4">
        <w:t>KE</w:t>
      </w:r>
      <w:r w:rsidRPr="00EA1CA4">
        <w:tab/>
      </w:r>
      <w:r w:rsidRPr="00EA1CA4">
        <w:tab/>
        <w:t>Komisioni Evropian</w:t>
      </w:r>
    </w:p>
    <w:p w:rsidR="00624E04" w:rsidRPr="00EA1CA4" w:rsidRDefault="00624E04" w:rsidP="00624E04">
      <w:pPr>
        <w:spacing w:line="276" w:lineRule="auto"/>
        <w:jc w:val="both"/>
      </w:pPr>
      <w:r w:rsidRPr="00EA1CA4">
        <w:t>BE</w:t>
      </w:r>
      <w:r w:rsidRPr="00EA1CA4">
        <w:tab/>
      </w:r>
      <w:r w:rsidRPr="00EA1CA4">
        <w:tab/>
        <w:t>Bashkimi Evropian</w:t>
      </w:r>
    </w:p>
    <w:p w:rsidR="00624E04" w:rsidRPr="00EA1CA4" w:rsidRDefault="00624E04" w:rsidP="00624E04">
      <w:pPr>
        <w:spacing w:line="276" w:lineRule="auto"/>
        <w:jc w:val="both"/>
      </w:pPr>
      <w:r w:rsidRPr="00EA1CA4">
        <w:t>KDF</w:t>
      </w:r>
      <w:r w:rsidRPr="00EA1CA4">
        <w:tab/>
      </w:r>
      <w:r w:rsidRPr="00EA1CA4">
        <w:tab/>
        <w:t>Kombinimi me dozë fikse</w:t>
      </w:r>
    </w:p>
    <w:p w:rsidR="00624E04" w:rsidRPr="00EA1CA4" w:rsidRDefault="00624E04" w:rsidP="00624E04">
      <w:pPr>
        <w:spacing w:line="276" w:lineRule="auto"/>
        <w:jc w:val="both"/>
      </w:pPr>
      <w:r w:rsidRPr="00EA1CA4">
        <w:t>DLP</w:t>
      </w:r>
      <w:r w:rsidRPr="00EA1CA4">
        <w:tab/>
      </w:r>
      <w:r w:rsidRPr="00EA1CA4">
        <w:tab/>
        <w:t>Barnat kundër TB të linjës së parë</w:t>
      </w:r>
    </w:p>
    <w:p w:rsidR="00624E04" w:rsidRPr="00EA1CA4" w:rsidRDefault="00624E04" w:rsidP="00624E04">
      <w:pPr>
        <w:spacing w:line="276" w:lineRule="auto"/>
        <w:jc w:val="both"/>
      </w:pPr>
      <w:r w:rsidRPr="00EA1CA4">
        <w:t>FGB</w:t>
      </w:r>
      <w:r w:rsidRPr="00EA1CA4">
        <w:tab/>
      </w:r>
      <w:r w:rsidRPr="00EA1CA4">
        <w:tab/>
        <w:t>Faciliteti Global i Barnave</w:t>
      </w:r>
    </w:p>
    <w:p w:rsidR="00624E04" w:rsidRPr="00EA1CA4" w:rsidRDefault="00624E04" w:rsidP="00624E04">
      <w:pPr>
        <w:spacing w:line="276" w:lineRule="auto"/>
        <w:jc w:val="both"/>
      </w:pPr>
      <w:r w:rsidRPr="00EA1CA4">
        <w:t>PBB</w:t>
      </w:r>
      <w:r w:rsidRPr="00EA1CA4">
        <w:tab/>
      </w:r>
      <w:r w:rsidRPr="00EA1CA4">
        <w:tab/>
        <w:t>Prodhimi i Brendshëm Bruto</w:t>
      </w:r>
    </w:p>
    <w:p w:rsidR="00624E04" w:rsidRPr="00EA1CA4" w:rsidRDefault="00624E04" w:rsidP="00624E04">
      <w:pPr>
        <w:spacing w:line="276" w:lineRule="auto"/>
        <w:jc w:val="both"/>
      </w:pPr>
      <w:r w:rsidRPr="00EA1CA4">
        <w:t>FG</w:t>
      </w:r>
      <w:r w:rsidRPr="00EA1CA4">
        <w:tab/>
      </w:r>
      <w:r w:rsidRPr="00EA1CA4">
        <w:tab/>
        <w:t>Fondi Global</w:t>
      </w:r>
    </w:p>
    <w:p w:rsidR="00624E04" w:rsidRPr="00EA1CA4" w:rsidRDefault="00624E04" w:rsidP="00624E04">
      <w:pPr>
        <w:spacing w:line="276" w:lineRule="auto"/>
        <w:jc w:val="both"/>
      </w:pPr>
      <w:r w:rsidRPr="00EA1CA4">
        <w:t>KDGJ</w:t>
      </w:r>
      <w:r w:rsidRPr="00EA1CA4">
        <w:tab/>
      </w:r>
      <w:r w:rsidRPr="00EA1CA4">
        <w:tab/>
        <w:t>Komiteti i Dritës së Gjelbër</w:t>
      </w:r>
    </w:p>
    <w:p w:rsidR="00624E04" w:rsidRPr="00EA1CA4" w:rsidRDefault="00624E04" w:rsidP="00624E04">
      <w:pPr>
        <w:spacing w:line="276" w:lineRule="auto"/>
        <w:jc w:val="both"/>
      </w:pPr>
      <w:r w:rsidRPr="00EA1CA4">
        <w:t>HIV</w:t>
      </w:r>
      <w:r w:rsidRPr="00EA1CA4">
        <w:tab/>
      </w:r>
      <w:r w:rsidRPr="00EA1CA4">
        <w:tab/>
        <w:t>Virus i Imunodificiences Njerëzore</w:t>
      </w:r>
    </w:p>
    <w:p w:rsidR="00624E04" w:rsidRPr="00EA1CA4" w:rsidRDefault="00624E04" w:rsidP="00624E04">
      <w:pPr>
        <w:spacing w:line="276" w:lineRule="auto"/>
        <w:jc w:val="both"/>
      </w:pPr>
      <w:r w:rsidRPr="00EA1CA4">
        <w:t>BNJSH</w:t>
      </w:r>
      <w:r w:rsidR="00887972" w:rsidRPr="00EA1CA4">
        <w:t xml:space="preserve"> </w:t>
      </w:r>
      <w:r w:rsidRPr="00EA1CA4">
        <w:tab/>
        <w:t>Burimet njerëzore për shëndetin</w:t>
      </w:r>
    </w:p>
    <w:p w:rsidR="00624E04" w:rsidRPr="00EA1CA4" w:rsidRDefault="00624E04" w:rsidP="00624E04">
      <w:pPr>
        <w:spacing w:line="276" w:lineRule="auto"/>
        <w:jc w:val="both"/>
      </w:pPr>
      <w:r w:rsidRPr="00EA1CA4">
        <w:t>IC</w:t>
      </w:r>
      <w:r w:rsidRPr="00EA1CA4">
        <w:tab/>
      </w:r>
      <w:r w:rsidRPr="00EA1CA4">
        <w:tab/>
        <w:t>Kontrolli i Infeksionit</w:t>
      </w:r>
    </w:p>
    <w:p w:rsidR="00624E04" w:rsidRPr="00EA1CA4" w:rsidRDefault="00624E04" w:rsidP="00624E04">
      <w:pPr>
        <w:spacing w:line="276" w:lineRule="auto"/>
        <w:jc w:val="both"/>
      </w:pPr>
      <w:r w:rsidRPr="00EA1CA4">
        <w:t>IGRA</w:t>
      </w:r>
      <w:r w:rsidRPr="00EA1CA4">
        <w:tab/>
      </w:r>
      <w:r w:rsidRPr="00EA1CA4">
        <w:tab/>
        <w:t xml:space="preserve">TB Interferon-Gamma Release Assays </w:t>
      </w:r>
    </w:p>
    <w:p w:rsidR="00624E04" w:rsidRPr="00EA1CA4" w:rsidRDefault="00624E04" w:rsidP="00624E04">
      <w:pPr>
        <w:spacing w:line="276" w:lineRule="auto"/>
        <w:jc w:val="both"/>
      </w:pPr>
      <w:r w:rsidRPr="00EA1CA4">
        <w:t>TPI</w:t>
      </w:r>
      <w:r w:rsidRPr="00EA1CA4">
        <w:tab/>
      </w:r>
      <w:r w:rsidRPr="00EA1CA4">
        <w:tab/>
        <w:t>Trajtimi parandalues me Izoniazid</w:t>
      </w:r>
    </w:p>
    <w:p w:rsidR="00624E04" w:rsidRPr="00EA1CA4" w:rsidRDefault="00624E04" w:rsidP="00624E04">
      <w:pPr>
        <w:spacing w:line="276" w:lineRule="auto"/>
        <w:jc w:val="both"/>
      </w:pPr>
      <w:r w:rsidRPr="00EA1CA4">
        <w:t>NJQP</w:t>
      </w:r>
      <w:r w:rsidRPr="00EA1CA4">
        <w:tab/>
      </w:r>
      <w:r w:rsidRPr="00EA1CA4">
        <w:tab/>
        <w:t>Njohuri, Qëndrim dhe Praktikë</w:t>
      </w:r>
    </w:p>
    <w:p w:rsidR="00624E04" w:rsidRPr="00EA1CA4" w:rsidRDefault="00624E04" w:rsidP="00624E04">
      <w:pPr>
        <w:spacing w:line="276" w:lineRule="auto"/>
        <w:jc w:val="both"/>
      </w:pPr>
      <w:r w:rsidRPr="00EA1CA4">
        <w:t>KeA</w:t>
      </w:r>
      <w:r w:rsidRPr="00EA1CA4">
        <w:tab/>
      </w:r>
      <w:r w:rsidRPr="00EA1CA4">
        <w:tab/>
        <w:t>Kasnecet e Ardhmërisë (OJQ lokale në Kosovë)</w:t>
      </w:r>
    </w:p>
    <w:p w:rsidR="00624E04" w:rsidRPr="00EA1CA4" w:rsidRDefault="00624E04" w:rsidP="00624E04">
      <w:pPr>
        <w:spacing w:line="276" w:lineRule="auto"/>
        <w:jc w:val="both"/>
      </w:pPr>
      <w:r w:rsidRPr="00EA1CA4">
        <w:t>PK</w:t>
      </w:r>
      <w:r w:rsidRPr="00EA1CA4">
        <w:tab/>
      </w:r>
      <w:r w:rsidRPr="00EA1CA4">
        <w:tab/>
        <w:t>Popullatat kryesore</w:t>
      </w:r>
    </w:p>
    <w:p w:rsidR="00624E04" w:rsidRPr="00EA1CA4" w:rsidRDefault="00624E04" w:rsidP="00624E04">
      <w:pPr>
        <w:spacing w:line="276" w:lineRule="auto"/>
        <w:jc w:val="both"/>
      </w:pPr>
      <w:r w:rsidRPr="00EA1CA4">
        <w:t>NJSMTB</w:t>
      </w:r>
      <w:r w:rsidRPr="00EA1CA4">
        <w:tab/>
        <w:t>Njësitë për sëmundjet e mushkërive dhe TB</w:t>
      </w:r>
    </w:p>
    <w:p w:rsidR="00624E04" w:rsidRPr="00EA1CA4" w:rsidRDefault="00624E04" w:rsidP="00624E04">
      <w:pPr>
        <w:spacing w:line="276" w:lineRule="auto"/>
        <w:jc w:val="both"/>
      </w:pPr>
      <w:r w:rsidRPr="00EA1CA4">
        <w:t>VTML</w:t>
      </w:r>
      <w:r w:rsidRPr="00EA1CA4">
        <w:tab/>
      </w:r>
      <w:r w:rsidRPr="00EA1CA4">
        <w:tab/>
        <w:t>Vend me të ardhura të mesme të larta</w:t>
      </w:r>
    </w:p>
    <w:p w:rsidR="00624E04" w:rsidRPr="00EA1CA4" w:rsidRDefault="00624E04" w:rsidP="00624E04">
      <w:pPr>
        <w:spacing w:line="276" w:lineRule="auto"/>
        <w:jc w:val="both"/>
      </w:pPr>
      <w:r w:rsidRPr="00EA1CA4">
        <w:t>ILTB</w:t>
      </w:r>
      <w:r w:rsidRPr="00EA1CA4">
        <w:tab/>
      </w:r>
      <w:r w:rsidRPr="00EA1CA4">
        <w:tab/>
        <w:t>Infeksioni latent i TB</w:t>
      </w:r>
    </w:p>
    <w:p w:rsidR="00624E04" w:rsidRPr="00EA1CA4" w:rsidRDefault="00624E04" w:rsidP="00624E04">
      <w:pPr>
        <w:spacing w:line="276" w:lineRule="auto"/>
        <w:jc w:val="both"/>
      </w:pPr>
      <w:r w:rsidRPr="00EA1CA4">
        <w:t>MRD-TB</w:t>
      </w:r>
      <w:r w:rsidRPr="00EA1CA4">
        <w:tab/>
        <w:t>Tuberkulozi rezistent ndaj shumë barnave</w:t>
      </w:r>
    </w:p>
    <w:p w:rsidR="00624E04" w:rsidRPr="00EA1CA4" w:rsidRDefault="00624E04" w:rsidP="00624E04">
      <w:pPr>
        <w:spacing w:line="276" w:lineRule="auto"/>
        <w:jc w:val="both"/>
      </w:pPr>
      <w:r w:rsidRPr="00EA1CA4">
        <w:t>MdheV</w:t>
      </w:r>
      <w:r w:rsidRPr="00EA1CA4">
        <w:tab/>
        <w:t>Monitorimi dhe Vlerësimi</w:t>
      </w:r>
    </w:p>
    <w:p w:rsidR="00624E04" w:rsidRPr="00EA1CA4" w:rsidRDefault="00624E04" w:rsidP="00624E04">
      <w:pPr>
        <w:spacing w:line="276" w:lineRule="auto"/>
        <w:jc w:val="both"/>
      </w:pPr>
      <w:r w:rsidRPr="00EA1CA4">
        <w:t>QKMF</w:t>
      </w:r>
      <w:r w:rsidRPr="00EA1CA4">
        <w:tab/>
      </w:r>
      <w:r w:rsidRPr="00EA1CA4">
        <w:tab/>
        <w:t>Qendra Kryesore e Mjekësisë Familjare</w:t>
      </w:r>
    </w:p>
    <w:p w:rsidR="00624E04" w:rsidRPr="00EA1CA4" w:rsidRDefault="00624E04" w:rsidP="00624E04">
      <w:pPr>
        <w:spacing w:line="276" w:lineRule="auto"/>
        <w:jc w:val="both"/>
      </w:pPr>
      <w:r w:rsidRPr="00EA1CA4">
        <w:t>AGTSH</w:t>
      </w:r>
      <w:r w:rsidRPr="00EA1CA4">
        <w:tab/>
        <w:t>Anketa e Grupeve të Treguesve të Shumëfishtë</w:t>
      </w:r>
    </w:p>
    <w:p w:rsidR="00624E04" w:rsidRPr="00EA1CA4" w:rsidRDefault="00624E04" w:rsidP="00624E04">
      <w:pPr>
        <w:spacing w:line="276" w:lineRule="auto"/>
        <w:jc w:val="both"/>
      </w:pPr>
      <w:r w:rsidRPr="00EA1CA4">
        <w:lastRenderedPageBreak/>
        <w:t>MPMS</w:t>
      </w:r>
      <w:r w:rsidRPr="00EA1CA4">
        <w:tab/>
      </w:r>
      <w:r w:rsidRPr="00EA1CA4">
        <w:tab/>
        <w:t>Ministria e Punës dhe Mirëqenies Sociale e Kosovës</w:t>
      </w:r>
    </w:p>
    <w:p w:rsidR="00624E04" w:rsidRPr="00EA1CA4" w:rsidRDefault="00624E04" w:rsidP="00624E04">
      <w:pPr>
        <w:spacing w:line="276" w:lineRule="auto"/>
        <w:jc w:val="both"/>
      </w:pPr>
      <w:r w:rsidRPr="00EA1CA4">
        <w:t>MSHK</w:t>
      </w:r>
      <w:r w:rsidRPr="00EA1CA4">
        <w:tab/>
      </w:r>
      <w:r w:rsidRPr="00EA1CA4">
        <w:tab/>
        <w:t>Ministria e Shëndetësisë së Kosovës</w:t>
      </w:r>
    </w:p>
    <w:p w:rsidR="00624E04" w:rsidRPr="00EA1CA4" w:rsidRDefault="00624E04" w:rsidP="00624E04">
      <w:pPr>
        <w:spacing w:line="276" w:lineRule="auto"/>
        <w:jc w:val="both"/>
      </w:pPr>
      <w:r w:rsidRPr="00EA1CA4">
        <w:t>I</w:t>
      </w:r>
      <w:r w:rsidR="00887972" w:rsidRPr="00EA1CA4">
        <w:t>KSHPK</w:t>
      </w:r>
      <w:r w:rsidR="00887972" w:rsidRPr="00EA1CA4">
        <w:tab/>
      </w:r>
      <w:r w:rsidRPr="00EA1CA4">
        <w:t>Instituti Kombëtar i Shëndetësisë Publike</w:t>
      </w:r>
    </w:p>
    <w:p w:rsidR="00624E04" w:rsidRPr="00EA1CA4" w:rsidRDefault="00624E04" w:rsidP="00624E04">
      <w:pPr>
        <w:spacing w:line="276" w:lineRule="auto"/>
        <w:jc w:val="both"/>
      </w:pPr>
      <w:r w:rsidRPr="00EA1CA4">
        <w:t>LKR</w:t>
      </w:r>
      <w:r w:rsidRPr="00EA1CA4">
        <w:tab/>
      </w:r>
      <w:r w:rsidRPr="00EA1CA4">
        <w:tab/>
        <w:t>Laboratori Kombëtar i Referencës</w:t>
      </w:r>
    </w:p>
    <w:p w:rsidR="00624E04" w:rsidRPr="00EA1CA4" w:rsidRDefault="00624E04" w:rsidP="00624E04">
      <w:pPr>
        <w:spacing w:line="276" w:lineRule="auto"/>
        <w:jc w:val="both"/>
      </w:pPr>
      <w:r w:rsidRPr="00EA1CA4">
        <w:t>PKV</w:t>
      </w:r>
      <w:r w:rsidRPr="00EA1CA4">
        <w:tab/>
      </w:r>
      <w:r w:rsidRPr="00EA1CA4">
        <w:tab/>
        <w:t>Plani Kombëtar i Veprimit</w:t>
      </w:r>
    </w:p>
    <w:p w:rsidR="00624E04" w:rsidRPr="00EA1CA4" w:rsidRDefault="00624E04" w:rsidP="00624E04">
      <w:pPr>
        <w:spacing w:line="276" w:lineRule="auto"/>
        <w:jc w:val="both"/>
      </w:pPr>
      <w:r w:rsidRPr="00EA1CA4">
        <w:t>PKTB</w:t>
      </w:r>
      <w:r w:rsidRPr="00EA1CA4">
        <w:tab/>
      </w:r>
      <w:r w:rsidRPr="00EA1CA4">
        <w:tab/>
        <w:t xml:space="preserve">Plani kombëtar kundër TB </w:t>
      </w:r>
    </w:p>
    <w:p w:rsidR="00624E04" w:rsidRPr="00EA1CA4" w:rsidRDefault="00624E04" w:rsidP="00624E04">
      <w:pPr>
        <w:spacing w:line="276" w:lineRule="auto"/>
        <w:jc w:val="both"/>
      </w:pPr>
      <w:r w:rsidRPr="00EA1CA4">
        <w:t>KSHP</w:t>
      </w:r>
      <w:r w:rsidRPr="00EA1CA4">
        <w:tab/>
      </w:r>
      <w:r w:rsidRPr="00EA1CA4">
        <w:tab/>
        <w:t>Kujdesi Shëndetësor Parësor</w:t>
      </w:r>
    </w:p>
    <w:p w:rsidR="00624E04" w:rsidRPr="00EA1CA4" w:rsidRDefault="00624E04" w:rsidP="00624E04">
      <w:pPr>
        <w:spacing w:line="276" w:lineRule="auto"/>
        <w:jc w:val="both"/>
      </w:pPr>
      <w:r w:rsidRPr="00EA1CA4">
        <w:t>PJHIV</w:t>
      </w:r>
      <w:r w:rsidRPr="00EA1CA4">
        <w:tab/>
      </w:r>
      <w:r w:rsidRPr="00EA1CA4">
        <w:tab/>
        <w:t>Personat që jetojnë me HIV</w:t>
      </w:r>
    </w:p>
    <w:p w:rsidR="00624E04" w:rsidRPr="00EA1CA4" w:rsidRDefault="00624E04" w:rsidP="00624E04">
      <w:pPr>
        <w:spacing w:line="276" w:lineRule="auto"/>
        <w:jc w:val="both"/>
      </w:pPr>
      <w:r w:rsidRPr="00EA1CA4">
        <w:t>PPMix</w:t>
      </w:r>
      <w:r w:rsidRPr="00EA1CA4">
        <w:tab/>
      </w:r>
      <w:r w:rsidRPr="00EA1CA4">
        <w:tab/>
        <w:t>Përzierje publike private</w:t>
      </w:r>
    </w:p>
    <w:p w:rsidR="00624E04" w:rsidRPr="00EA1CA4" w:rsidRDefault="00624E04" w:rsidP="00624E04">
      <w:pPr>
        <w:spacing w:line="276" w:lineRule="auto"/>
        <w:jc w:val="both"/>
      </w:pPr>
      <w:r w:rsidRPr="00EA1CA4">
        <w:t>MFP</w:t>
      </w:r>
      <w:r w:rsidRPr="00EA1CA4">
        <w:tab/>
      </w:r>
      <w:r w:rsidRPr="00EA1CA4">
        <w:tab/>
        <w:t>Menaxhimi i Zinxhirit Furnizues të Prokurimit</w:t>
      </w:r>
    </w:p>
    <w:p w:rsidR="00624E04" w:rsidRPr="00EA1CA4" w:rsidRDefault="00624E04" w:rsidP="00624E04">
      <w:pPr>
        <w:spacing w:line="276" w:lineRule="auto"/>
        <w:jc w:val="both"/>
      </w:pPr>
      <w:r w:rsidRPr="00EA1CA4">
        <w:t>PID</w:t>
      </w:r>
      <w:r w:rsidRPr="00EA1CA4">
        <w:tab/>
      </w:r>
      <w:r w:rsidRPr="00EA1CA4">
        <w:tab/>
        <w:t>Personat që injektojnë droga</w:t>
      </w:r>
    </w:p>
    <w:p w:rsidR="00624E04" w:rsidRPr="00EA1CA4" w:rsidRDefault="00624E04" w:rsidP="00624E04">
      <w:pPr>
        <w:spacing w:line="276" w:lineRule="auto"/>
        <w:jc w:val="both"/>
      </w:pPr>
      <w:r w:rsidRPr="00EA1CA4">
        <w:t>RAE</w:t>
      </w:r>
      <w:r w:rsidRPr="00EA1CA4">
        <w:tab/>
      </w:r>
      <w:r w:rsidRPr="00EA1CA4">
        <w:tab/>
        <w:t>Komunitetet Romë, Ashkali dhe Egjiptian</w:t>
      </w:r>
    </w:p>
    <w:p w:rsidR="00624E04" w:rsidRPr="00EA1CA4" w:rsidRDefault="00624E04" w:rsidP="00624E04">
      <w:pPr>
        <w:spacing w:line="276" w:lineRule="auto"/>
        <w:jc w:val="both"/>
      </w:pPr>
      <w:r w:rsidRPr="00EA1CA4">
        <w:t>RdheR</w:t>
      </w:r>
      <w:r w:rsidRPr="00EA1CA4">
        <w:tab/>
        <w:t xml:space="preserve">            Regjistrimi dhe Raportimi</w:t>
      </w:r>
    </w:p>
    <w:p w:rsidR="00624E04" w:rsidRPr="00EA1CA4" w:rsidRDefault="00624E04" w:rsidP="00624E04">
      <w:pPr>
        <w:spacing w:line="276" w:lineRule="auto"/>
        <w:jc w:val="both"/>
      </w:pPr>
      <w:r w:rsidRPr="00EA1CA4">
        <w:t>OZHQ</w:t>
      </w:r>
      <w:r w:rsidRPr="00EA1CA4">
        <w:tab/>
      </w:r>
      <w:r w:rsidRPr="00EA1CA4">
        <w:tab/>
        <w:t>Objektivi i Zhvillimit të Qëndrueshëm</w:t>
      </w:r>
    </w:p>
    <w:p w:rsidR="00624E04" w:rsidRPr="00EA1CA4" w:rsidRDefault="00624E04" w:rsidP="00624E04">
      <w:pPr>
        <w:spacing w:line="276" w:lineRule="auto"/>
        <w:jc w:val="both"/>
      </w:pPr>
      <w:r w:rsidRPr="00EA1CA4">
        <w:t>SLLSH</w:t>
      </w:r>
      <w:r w:rsidRPr="00EA1CA4">
        <w:tab/>
      </w:r>
      <w:r w:rsidR="00887972" w:rsidRPr="00EA1CA4">
        <w:t xml:space="preserve">             </w:t>
      </w:r>
      <w:r w:rsidRPr="00EA1CA4">
        <w:t>Sistemi i llogarive shëndetësore</w:t>
      </w:r>
    </w:p>
    <w:p w:rsidR="00624E04" w:rsidRPr="00EA1CA4" w:rsidRDefault="00624E04" w:rsidP="00624E04">
      <w:pPr>
        <w:spacing w:line="276" w:lineRule="auto"/>
        <w:jc w:val="both"/>
      </w:pPr>
      <w:r w:rsidRPr="00EA1CA4">
        <w:t>KShD</w:t>
      </w:r>
      <w:r w:rsidRPr="00EA1CA4">
        <w:tab/>
      </w:r>
      <w:r w:rsidRPr="00EA1CA4">
        <w:tab/>
        <w:t>Kujdesi Shëndetësor Dytësor</w:t>
      </w:r>
    </w:p>
    <w:p w:rsidR="00624E04" w:rsidRPr="00EA1CA4" w:rsidRDefault="00624E04" w:rsidP="00624E04">
      <w:pPr>
        <w:spacing w:line="276" w:lineRule="auto"/>
        <w:jc w:val="both"/>
      </w:pPr>
      <w:r w:rsidRPr="00EA1CA4">
        <w:t>SIMTB</w:t>
      </w:r>
      <w:r w:rsidRPr="00EA1CA4">
        <w:tab/>
      </w:r>
      <w:r w:rsidR="00887972" w:rsidRPr="00EA1CA4">
        <w:t xml:space="preserve">             </w:t>
      </w:r>
      <w:r w:rsidRPr="00EA1CA4">
        <w:t>Sistemi i Informacionit Elektronik për TB</w:t>
      </w:r>
      <w:r w:rsidRPr="00EA1CA4">
        <w:tab/>
      </w:r>
    </w:p>
    <w:p w:rsidR="00624E04" w:rsidRPr="00EA1CA4" w:rsidRDefault="00624E04" w:rsidP="00624E04">
      <w:pPr>
        <w:spacing w:line="276" w:lineRule="auto"/>
        <w:jc w:val="both"/>
      </w:pPr>
      <w:r w:rsidRPr="00EA1CA4">
        <w:t>BLD</w:t>
      </w:r>
      <w:r w:rsidRPr="00EA1CA4">
        <w:tab/>
      </w:r>
      <w:r w:rsidRPr="00EA1CA4">
        <w:tab/>
        <w:t>Barna të linjës së dytë</w:t>
      </w:r>
    </w:p>
    <w:p w:rsidR="00624E04" w:rsidRPr="00EA1CA4" w:rsidRDefault="00624E04" w:rsidP="00624E04">
      <w:pPr>
        <w:spacing w:line="276" w:lineRule="auto"/>
        <w:jc w:val="both"/>
      </w:pPr>
      <w:r w:rsidRPr="00EA1CA4">
        <w:t>OS</w:t>
      </w:r>
      <w:r w:rsidRPr="00EA1CA4">
        <w:tab/>
      </w:r>
      <w:r w:rsidRPr="00EA1CA4">
        <w:tab/>
        <w:t>Objektivat specifike (të PKV)</w:t>
      </w:r>
    </w:p>
    <w:p w:rsidR="00624E04" w:rsidRPr="00EA1CA4" w:rsidRDefault="00624E04" w:rsidP="00624E04">
      <w:pPr>
        <w:spacing w:line="276" w:lineRule="auto"/>
        <w:jc w:val="both"/>
      </w:pPr>
      <w:r w:rsidRPr="00EA1CA4">
        <w:t>PSO</w:t>
      </w:r>
      <w:r w:rsidRPr="00EA1CA4">
        <w:tab/>
      </w:r>
      <w:r w:rsidRPr="00EA1CA4">
        <w:tab/>
        <w:t>Procedurat Standarde të Operimit</w:t>
      </w:r>
    </w:p>
    <w:p w:rsidR="00624E04" w:rsidRPr="00EA1CA4" w:rsidRDefault="00624E04" w:rsidP="00624E04">
      <w:pPr>
        <w:spacing w:line="276" w:lineRule="auto"/>
        <w:jc w:val="both"/>
      </w:pPr>
      <w:r w:rsidRPr="00EA1CA4">
        <w:t>NR</w:t>
      </w:r>
      <w:r w:rsidRPr="00EA1CA4">
        <w:tab/>
      </w:r>
      <w:r w:rsidRPr="00EA1CA4">
        <w:tab/>
        <w:t>Nën-recipientët</w:t>
      </w:r>
    </w:p>
    <w:p w:rsidR="00624E04" w:rsidRPr="00EA1CA4" w:rsidRDefault="00624E04" w:rsidP="00624E04">
      <w:pPr>
        <w:spacing w:line="276" w:lineRule="auto"/>
        <w:jc w:val="both"/>
      </w:pPr>
      <w:r w:rsidRPr="00EA1CA4">
        <w:t>LRMK</w:t>
      </w:r>
      <w:r w:rsidRPr="00EA1CA4">
        <w:tab/>
      </w:r>
      <w:r w:rsidRPr="00EA1CA4">
        <w:tab/>
        <w:t>Laboratori i referencës mbikombëtare</w:t>
      </w:r>
    </w:p>
    <w:p w:rsidR="00624E04" w:rsidRPr="00EA1CA4" w:rsidRDefault="00624E04" w:rsidP="00624E04">
      <w:pPr>
        <w:spacing w:line="276" w:lineRule="auto"/>
        <w:jc w:val="both"/>
      </w:pPr>
      <w:r w:rsidRPr="00EA1CA4">
        <w:t xml:space="preserve">TB </w:t>
      </w:r>
      <w:r w:rsidRPr="00EA1CA4">
        <w:tab/>
      </w:r>
      <w:r w:rsidRPr="00EA1CA4">
        <w:tab/>
        <w:t>Tuberkulozi</w:t>
      </w:r>
    </w:p>
    <w:p w:rsidR="00624E04" w:rsidRPr="00EA1CA4" w:rsidRDefault="00624E04" w:rsidP="00624E04">
      <w:pPr>
        <w:spacing w:line="276" w:lineRule="auto"/>
        <w:jc w:val="both"/>
      </w:pPr>
      <w:r w:rsidRPr="00EA1CA4">
        <w:t>KShT</w:t>
      </w:r>
      <w:r w:rsidRPr="00EA1CA4">
        <w:tab/>
      </w:r>
      <w:r w:rsidRPr="00EA1CA4">
        <w:tab/>
        <w:t>Kujdesi Shëndetësor Terciar</w:t>
      </w:r>
    </w:p>
    <w:p w:rsidR="00624E04" w:rsidRPr="00EA1CA4" w:rsidRDefault="00624E04" w:rsidP="00624E04">
      <w:pPr>
        <w:spacing w:line="276" w:lineRule="auto"/>
        <w:jc w:val="both"/>
      </w:pPr>
      <w:r w:rsidRPr="00EA1CA4">
        <w:t>TPA</w:t>
      </w:r>
      <w:r w:rsidRPr="00EA1CA4">
        <w:tab/>
      </w:r>
      <w:r w:rsidRPr="00EA1CA4">
        <w:tab/>
        <w:t>Vlerësimi i gatishmërisë për tranzicion</w:t>
      </w:r>
    </w:p>
    <w:p w:rsidR="00624E04" w:rsidRPr="00EA1CA4" w:rsidRDefault="00624E04" w:rsidP="00624E04">
      <w:pPr>
        <w:spacing w:line="276" w:lineRule="auto"/>
        <w:jc w:val="both"/>
      </w:pPr>
      <w:r w:rsidRPr="00EA1CA4">
        <w:t>PRT</w:t>
      </w:r>
      <w:r w:rsidRPr="00EA1CA4">
        <w:tab/>
      </w:r>
      <w:r w:rsidRPr="00EA1CA4">
        <w:tab/>
        <w:t>Paneli i Rishikimit Teknik</w:t>
      </w:r>
    </w:p>
    <w:p w:rsidR="00624E04" w:rsidRPr="00EA1CA4" w:rsidRDefault="00624E04" w:rsidP="00624E04">
      <w:pPr>
        <w:spacing w:line="276" w:lineRule="auto"/>
        <w:jc w:val="both"/>
      </w:pPr>
      <w:r w:rsidRPr="00EA1CA4">
        <w:t>PTQ</w:t>
      </w:r>
      <w:r w:rsidRPr="00EA1CA4">
        <w:tab/>
      </w:r>
      <w:r w:rsidRPr="00EA1CA4">
        <w:tab/>
        <w:t>Plani i Tranzicionit dhe Qëndrueshmërisë</w:t>
      </w:r>
    </w:p>
    <w:p w:rsidR="00624E04" w:rsidRPr="00EA1CA4" w:rsidRDefault="00624E04" w:rsidP="00624E04">
      <w:pPr>
        <w:spacing w:line="276" w:lineRule="auto"/>
        <w:jc w:val="both"/>
      </w:pPr>
      <w:r w:rsidRPr="00EA1CA4">
        <w:t>TST</w:t>
      </w:r>
      <w:r w:rsidRPr="00EA1CA4">
        <w:tab/>
      </w:r>
      <w:r w:rsidRPr="00EA1CA4">
        <w:tab/>
        <w:t>Tuberculin Skin Test</w:t>
      </w:r>
    </w:p>
    <w:p w:rsidR="00624E04" w:rsidRPr="00EA1CA4" w:rsidRDefault="00624E04" w:rsidP="00624E04">
      <w:pPr>
        <w:spacing w:line="276" w:lineRule="auto"/>
        <w:jc w:val="both"/>
      </w:pPr>
      <w:r w:rsidRPr="00EA1CA4">
        <w:t>QKUK</w:t>
      </w:r>
      <w:r w:rsidRPr="00EA1CA4">
        <w:tab/>
      </w:r>
      <w:r w:rsidRPr="00EA1CA4">
        <w:tab/>
        <w:t>Qendra Klinike Universitare e Kosovës</w:t>
      </w:r>
    </w:p>
    <w:p w:rsidR="00624E04" w:rsidRPr="00EA1CA4" w:rsidRDefault="00624E04" w:rsidP="00624E04">
      <w:pPr>
        <w:spacing w:line="276" w:lineRule="auto"/>
        <w:jc w:val="both"/>
      </w:pPr>
      <w:r w:rsidRPr="00EA1CA4">
        <w:t>US$</w:t>
      </w:r>
      <w:r w:rsidRPr="00EA1CA4">
        <w:tab/>
      </w:r>
      <w:r w:rsidRPr="00EA1CA4">
        <w:tab/>
        <w:t>Dollarë amerikan</w:t>
      </w:r>
    </w:p>
    <w:p w:rsidR="00624E04" w:rsidRPr="00EA1CA4" w:rsidRDefault="00624E04" w:rsidP="00624E04">
      <w:pPr>
        <w:spacing w:line="276" w:lineRule="auto"/>
        <w:jc w:val="both"/>
      </w:pPr>
      <w:r w:rsidRPr="00EA1CA4">
        <w:t>OBSH</w:t>
      </w:r>
      <w:r w:rsidRPr="00EA1CA4">
        <w:tab/>
      </w:r>
      <w:r w:rsidRPr="00EA1CA4">
        <w:tab/>
        <w:t>Organizata Botërore e Shëndetësisë</w:t>
      </w: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pPr>
    </w:p>
    <w:p w:rsidR="00624E04" w:rsidRPr="00EA1CA4" w:rsidRDefault="00624E04" w:rsidP="00624E04">
      <w:pPr>
        <w:spacing w:line="276" w:lineRule="auto"/>
        <w:jc w:val="both"/>
        <w:rPr>
          <w:b/>
        </w:rPr>
      </w:pPr>
    </w:p>
    <w:p w:rsidR="00624E04" w:rsidRPr="00EA1CA4" w:rsidRDefault="00624E04" w:rsidP="00624E04">
      <w:pPr>
        <w:spacing w:line="276" w:lineRule="auto"/>
        <w:jc w:val="both"/>
        <w:rPr>
          <w:b/>
        </w:rPr>
      </w:pPr>
      <w:r w:rsidRPr="00EA1CA4">
        <w:rPr>
          <w:b/>
        </w:rPr>
        <w:t>P</w:t>
      </w:r>
      <w:r w:rsidR="007A0591" w:rsidRPr="00EA1CA4">
        <w:rPr>
          <w:b/>
        </w:rPr>
        <w:t>ërmbajtja</w:t>
      </w:r>
    </w:p>
    <w:p w:rsidR="00624E04" w:rsidRPr="00EA1CA4" w:rsidRDefault="00624E04" w:rsidP="00624E04">
      <w:pPr>
        <w:spacing w:line="276" w:lineRule="auto"/>
        <w:jc w:val="both"/>
        <w:rPr>
          <w:b/>
        </w:rPr>
      </w:pPr>
    </w:p>
    <w:p w:rsidR="004C4F05" w:rsidRPr="00EA1CA4" w:rsidRDefault="002343B9">
      <w:pPr>
        <w:pStyle w:val="TOC1"/>
        <w:tabs>
          <w:tab w:val="right" w:leader="dot" w:pos="9913"/>
        </w:tabs>
        <w:rPr>
          <w:rFonts w:ascii="Times New Roman" w:eastAsiaTheme="minorEastAsia" w:hAnsi="Times New Roman"/>
          <w:noProof/>
          <w:sz w:val="24"/>
          <w:szCs w:val="24"/>
          <w:lang w:val="sq-AL"/>
        </w:rPr>
      </w:pPr>
      <w:r w:rsidRPr="00EA1CA4">
        <w:rPr>
          <w:rFonts w:ascii="Times New Roman" w:hAnsi="Times New Roman"/>
          <w:sz w:val="24"/>
          <w:szCs w:val="24"/>
          <w:lang w:val="sq-AL"/>
        </w:rPr>
        <w:fldChar w:fldCharType="begin"/>
      </w:r>
      <w:r w:rsidR="00121B64" w:rsidRPr="00EA1CA4">
        <w:rPr>
          <w:rFonts w:ascii="Times New Roman" w:hAnsi="Times New Roman"/>
          <w:sz w:val="24"/>
          <w:szCs w:val="24"/>
          <w:lang w:val="sq-AL"/>
        </w:rPr>
        <w:instrText xml:space="preserve"> TOC \o "1-2" \n \h \z \u </w:instrText>
      </w:r>
      <w:r w:rsidRPr="00EA1CA4">
        <w:rPr>
          <w:rFonts w:ascii="Times New Roman" w:hAnsi="Times New Roman"/>
          <w:sz w:val="24"/>
          <w:szCs w:val="24"/>
          <w:lang w:val="sq-AL"/>
        </w:rPr>
        <w:fldChar w:fldCharType="separate"/>
      </w:r>
      <w:hyperlink w:anchor="_Toc108517249" w:history="1">
        <w:r w:rsidR="004C4F05" w:rsidRPr="00EA1CA4">
          <w:rPr>
            <w:rStyle w:val="Hyperlink"/>
            <w:rFonts w:ascii="Times New Roman" w:hAnsi="Times New Roman"/>
            <w:noProof/>
            <w:sz w:val="24"/>
            <w:szCs w:val="24"/>
            <w:lang w:val="sq-AL"/>
          </w:rPr>
          <w:t>1. Përmbledhje ekzekutive</w:t>
        </w:r>
      </w:hyperlink>
    </w:p>
    <w:p w:rsidR="004C4F05" w:rsidRPr="00EA1CA4" w:rsidRDefault="00D75ED6">
      <w:pPr>
        <w:pStyle w:val="TOC1"/>
        <w:tabs>
          <w:tab w:val="right" w:leader="dot" w:pos="9913"/>
        </w:tabs>
        <w:rPr>
          <w:rFonts w:ascii="Times New Roman" w:eastAsiaTheme="minorEastAsia" w:hAnsi="Times New Roman"/>
          <w:noProof/>
          <w:sz w:val="24"/>
          <w:szCs w:val="24"/>
          <w:lang w:val="sq-AL"/>
        </w:rPr>
      </w:pPr>
      <w:hyperlink w:anchor="_Toc108517250" w:history="1">
        <w:r w:rsidR="004C4F05" w:rsidRPr="00EA1CA4">
          <w:rPr>
            <w:rStyle w:val="Hyperlink"/>
            <w:rFonts w:ascii="Times New Roman" w:hAnsi="Times New Roman"/>
            <w:noProof/>
            <w:sz w:val="24"/>
            <w:szCs w:val="24"/>
            <w:lang w:val="sq-AL"/>
          </w:rPr>
          <w:t>2.  Hyrje</w:t>
        </w:r>
      </w:hyperlink>
    </w:p>
    <w:p w:rsidR="004C4F05" w:rsidRPr="00EA1CA4" w:rsidRDefault="00D75ED6">
      <w:pPr>
        <w:pStyle w:val="TOC1"/>
        <w:tabs>
          <w:tab w:val="right" w:leader="dot" w:pos="9913"/>
        </w:tabs>
        <w:rPr>
          <w:rFonts w:ascii="Times New Roman" w:eastAsiaTheme="minorEastAsia" w:hAnsi="Times New Roman"/>
          <w:noProof/>
          <w:sz w:val="24"/>
          <w:szCs w:val="24"/>
          <w:lang w:val="sq-AL"/>
        </w:rPr>
      </w:pPr>
      <w:hyperlink w:anchor="_Toc108517251" w:history="1">
        <w:r w:rsidR="004C4F05" w:rsidRPr="00EA1CA4">
          <w:rPr>
            <w:rStyle w:val="Hyperlink"/>
            <w:rFonts w:ascii="Times New Roman" w:hAnsi="Times New Roman"/>
            <w:noProof/>
            <w:sz w:val="24"/>
            <w:szCs w:val="24"/>
            <w:lang w:val="sq-AL"/>
          </w:rPr>
          <w:t>3.  Metodologjia</w:t>
        </w:r>
      </w:hyperlink>
    </w:p>
    <w:p w:rsidR="004C4F05" w:rsidRPr="00EA1CA4" w:rsidRDefault="00D75ED6">
      <w:pPr>
        <w:pStyle w:val="TOC1"/>
        <w:tabs>
          <w:tab w:val="right" w:leader="dot" w:pos="9913"/>
        </w:tabs>
        <w:rPr>
          <w:rFonts w:ascii="Times New Roman" w:eastAsiaTheme="minorEastAsia" w:hAnsi="Times New Roman"/>
          <w:noProof/>
          <w:sz w:val="24"/>
          <w:szCs w:val="24"/>
          <w:lang w:val="sq-AL"/>
        </w:rPr>
      </w:pPr>
      <w:hyperlink w:anchor="_Toc108517252" w:history="1">
        <w:r w:rsidR="004C4F05" w:rsidRPr="00EA1CA4">
          <w:rPr>
            <w:rStyle w:val="Hyperlink"/>
            <w:rFonts w:ascii="Times New Roman" w:hAnsi="Times New Roman"/>
            <w:noProof/>
            <w:sz w:val="24"/>
            <w:szCs w:val="24"/>
            <w:lang w:val="sq-AL"/>
          </w:rPr>
          <w:t>4. Sfondi</w:t>
        </w:r>
      </w:hyperlink>
    </w:p>
    <w:p w:rsidR="004C4F05" w:rsidRPr="00EA1CA4" w:rsidRDefault="00D75ED6">
      <w:pPr>
        <w:pStyle w:val="TOC1"/>
        <w:tabs>
          <w:tab w:val="right" w:leader="dot" w:pos="9913"/>
        </w:tabs>
        <w:rPr>
          <w:rFonts w:ascii="Times New Roman" w:eastAsiaTheme="minorEastAsia" w:hAnsi="Times New Roman"/>
          <w:noProof/>
          <w:sz w:val="24"/>
          <w:szCs w:val="24"/>
          <w:lang w:val="sq-AL"/>
        </w:rPr>
      </w:pPr>
      <w:hyperlink w:anchor="_Toc108517253" w:history="1">
        <w:r w:rsidR="004C4F05" w:rsidRPr="00EA1CA4">
          <w:rPr>
            <w:rStyle w:val="Hyperlink"/>
            <w:rFonts w:ascii="Times New Roman" w:hAnsi="Times New Roman"/>
            <w:noProof/>
            <w:sz w:val="24"/>
            <w:szCs w:val="24"/>
            <w:lang w:val="sq-AL"/>
          </w:rPr>
          <w:t>5. Objektivat</w:t>
        </w:r>
      </w:hyperlink>
    </w:p>
    <w:p w:rsidR="0076045E" w:rsidRPr="00EA1CA4" w:rsidRDefault="00D75ED6" w:rsidP="0076045E">
      <w:pPr>
        <w:pStyle w:val="TOC1"/>
        <w:tabs>
          <w:tab w:val="right" w:leader="dot" w:pos="9913"/>
        </w:tabs>
        <w:rPr>
          <w:rFonts w:ascii="Times New Roman" w:hAnsi="Times New Roman"/>
          <w:sz w:val="24"/>
          <w:szCs w:val="24"/>
        </w:rPr>
      </w:pPr>
      <w:hyperlink w:anchor="_Toc108517254" w:history="1">
        <w:r w:rsidR="004C4F05" w:rsidRPr="00EA1CA4">
          <w:rPr>
            <w:rStyle w:val="Hyperlink"/>
            <w:rFonts w:ascii="Times New Roman" w:hAnsi="Times New Roman"/>
            <w:noProof/>
            <w:sz w:val="24"/>
            <w:szCs w:val="24"/>
            <w:lang w:val="sq-AL"/>
          </w:rPr>
          <w:t>6. Aranzhimet  e zbatimit, monitorimit dhe raportimit</w:t>
        </w:r>
      </w:hyperlink>
    </w:p>
    <w:p w:rsidR="0076045E" w:rsidRPr="00EA1CA4" w:rsidRDefault="0076045E" w:rsidP="0076045E">
      <w:pPr>
        <w:pStyle w:val="TOC1"/>
        <w:tabs>
          <w:tab w:val="right" w:leader="dot" w:pos="9913"/>
        </w:tabs>
        <w:rPr>
          <w:rFonts w:ascii="Times New Roman" w:hAnsi="Times New Roman"/>
          <w:sz w:val="24"/>
          <w:szCs w:val="24"/>
        </w:rPr>
      </w:pPr>
      <w:r w:rsidRPr="00EA1CA4">
        <w:rPr>
          <w:rFonts w:ascii="Times New Roman" w:eastAsiaTheme="minorEastAsia" w:hAnsi="Times New Roman"/>
          <w:sz w:val="24"/>
          <w:szCs w:val="24"/>
        </w:rPr>
        <w:t xml:space="preserve">7. </w:t>
      </w:r>
      <w:bookmarkStart w:id="1" w:name="_Toc92821434"/>
      <w:r w:rsidRPr="00EA1CA4">
        <w:rPr>
          <w:rFonts w:ascii="Times New Roman" w:hAnsi="Times New Roman"/>
          <w:sz w:val="24"/>
          <w:szCs w:val="24"/>
        </w:rPr>
        <w:t>Implikimet buxhetore dhe zbatimi i planit të veprimit</w:t>
      </w:r>
      <w:bookmarkEnd w:id="1"/>
    </w:p>
    <w:p w:rsidR="004C4F05" w:rsidRPr="00EA1CA4" w:rsidRDefault="00D75ED6">
      <w:pPr>
        <w:pStyle w:val="TOC1"/>
        <w:tabs>
          <w:tab w:val="right" w:leader="dot" w:pos="9913"/>
        </w:tabs>
        <w:rPr>
          <w:rFonts w:ascii="Times New Roman" w:eastAsiaTheme="minorEastAsia" w:hAnsi="Times New Roman"/>
          <w:noProof/>
          <w:sz w:val="24"/>
          <w:szCs w:val="24"/>
          <w:lang w:val="sq-AL"/>
        </w:rPr>
      </w:pPr>
      <w:hyperlink w:anchor="_Toc108517255" w:history="1">
        <w:r w:rsidR="004C4F05" w:rsidRPr="00EA1CA4">
          <w:rPr>
            <w:rStyle w:val="Hyperlink"/>
            <w:rFonts w:ascii="Times New Roman" w:hAnsi="Times New Roman"/>
            <w:noProof/>
            <w:sz w:val="24"/>
            <w:szCs w:val="24"/>
            <w:lang w:val="sq-AL"/>
          </w:rPr>
          <w:t>Shtojca A: Informata për vlerësimin e kostos për aktivitetet dhe objektivat cdo vit dhe burimet e financimit</w:t>
        </w:r>
      </w:hyperlink>
    </w:p>
    <w:p w:rsidR="004C4F05" w:rsidRPr="00EA1CA4" w:rsidRDefault="00D75ED6">
      <w:pPr>
        <w:pStyle w:val="TOC1"/>
        <w:tabs>
          <w:tab w:val="right" w:leader="dot" w:pos="9913"/>
        </w:tabs>
        <w:rPr>
          <w:rFonts w:ascii="Times New Roman" w:eastAsiaTheme="minorEastAsia" w:hAnsi="Times New Roman"/>
          <w:noProof/>
          <w:sz w:val="24"/>
          <w:szCs w:val="24"/>
          <w:lang w:val="sq-AL"/>
        </w:rPr>
      </w:pPr>
      <w:hyperlink w:anchor="_Toc108517256" w:history="1">
        <w:r w:rsidR="004C4F05" w:rsidRPr="00EA1CA4">
          <w:rPr>
            <w:rStyle w:val="Hyperlink"/>
            <w:rFonts w:ascii="Times New Roman" w:hAnsi="Times New Roman"/>
            <w:noProof/>
            <w:sz w:val="24"/>
            <w:szCs w:val="24"/>
            <w:lang w:val="sq-AL"/>
          </w:rPr>
          <w:t>Shtojca B: Përshkrimi i detajuar i objektivave specifike dhe aktiviteteve të planifikuara</w:t>
        </w:r>
      </w:hyperlink>
    </w:p>
    <w:p w:rsidR="004C4F05" w:rsidRPr="00EA1CA4" w:rsidRDefault="00D75ED6">
      <w:pPr>
        <w:pStyle w:val="TOC1"/>
        <w:tabs>
          <w:tab w:val="right" w:leader="dot" w:pos="9913"/>
        </w:tabs>
        <w:rPr>
          <w:rFonts w:ascii="Times New Roman" w:eastAsiaTheme="minorEastAsia" w:hAnsi="Times New Roman"/>
          <w:noProof/>
          <w:sz w:val="24"/>
          <w:szCs w:val="24"/>
          <w:lang w:val="sq-AL"/>
        </w:rPr>
      </w:pPr>
      <w:hyperlink w:anchor="_Toc108517257" w:history="1">
        <w:r w:rsidR="004C4F05" w:rsidRPr="00EA1CA4">
          <w:rPr>
            <w:rStyle w:val="Hyperlink"/>
            <w:rFonts w:ascii="Times New Roman" w:hAnsi="Times New Roman"/>
            <w:noProof/>
            <w:sz w:val="24"/>
            <w:szCs w:val="24"/>
            <w:lang w:val="sq-AL"/>
          </w:rPr>
          <w:t>Referencat</w:t>
        </w:r>
      </w:hyperlink>
    </w:p>
    <w:p w:rsidR="00121B64" w:rsidRPr="00EA1CA4" w:rsidRDefault="002343B9" w:rsidP="00624E04">
      <w:pPr>
        <w:spacing w:line="276" w:lineRule="auto"/>
        <w:jc w:val="both"/>
      </w:pPr>
      <w:r w:rsidRPr="00EA1CA4">
        <w:fldChar w:fldCharType="end"/>
      </w:r>
    </w:p>
    <w:p w:rsidR="00121B64" w:rsidRPr="00EA1CA4" w:rsidRDefault="00121B64" w:rsidP="00624E04">
      <w:pPr>
        <w:spacing w:line="276" w:lineRule="auto"/>
        <w:jc w:val="both"/>
      </w:pPr>
    </w:p>
    <w:p w:rsidR="00624E04" w:rsidRPr="00EA1CA4" w:rsidRDefault="00232CCF" w:rsidP="00624E04">
      <w:pPr>
        <w:spacing w:line="276" w:lineRule="auto"/>
        <w:jc w:val="both"/>
        <w:rPr>
          <w:lang w:eastAsia="en-US"/>
        </w:rPr>
      </w:pPr>
      <w:bookmarkStart w:id="2" w:name="_Toc92549211"/>
      <w:bookmarkStart w:id="3" w:name="_Toc92549304"/>
      <w:bookmarkStart w:id="4" w:name="_Toc92549544"/>
      <w:r w:rsidRPr="00EA1CA4">
        <w:br w:type="page"/>
      </w:r>
      <w:bookmarkEnd w:id="2"/>
      <w:bookmarkEnd w:id="3"/>
      <w:bookmarkEnd w:id="4"/>
      <w:r w:rsidR="00624E04" w:rsidRPr="00EA1CA4">
        <w:rPr>
          <w:lang w:eastAsia="en-US"/>
        </w:rPr>
        <w:lastRenderedPageBreak/>
        <w:t xml:space="preserve"> </w:t>
      </w:r>
    </w:p>
    <w:p w:rsidR="00624E04" w:rsidRPr="00EA1CA4" w:rsidRDefault="00624E04" w:rsidP="00624E04">
      <w:pPr>
        <w:spacing w:line="276" w:lineRule="auto"/>
        <w:jc w:val="both"/>
        <w:rPr>
          <w:lang w:eastAsia="en-US"/>
        </w:rPr>
      </w:pPr>
    </w:p>
    <w:p w:rsidR="0054416D" w:rsidRPr="00EA1CA4" w:rsidRDefault="007F553C" w:rsidP="00DD5916">
      <w:pPr>
        <w:pStyle w:val="Heading1"/>
        <w:rPr>
          <w:rFonts w:ascii="Times New Roman" w:hAnsi="Times New Roman"/>
          <w:szCs w:val="24"/>
          <w:lang w:eastAsia="en-US"/>
        </w:rPr>
      </w:pPr>
      <w:bookmarkStart w:id="5" w:name="_Toc108517249"/>
      <w:r w:rsidRPr="00EA1CA4">
        <w:rPr>
          <w:rFonts w:ascii="Times New Roman" w:hAnsi="Times New Roman"/>
          <w:szCs w:val="24"/>
          <w:lang w:eastAsia="en-US"/>
        </w:rPr>
        <w:t>1</w:t>
      </w:r>
      <w:r w:rsidR="00624E04" w:rsidRPr="00EA1CA4">
        <w:rPr>
          <w:rFonts w:ascii="Times New Roman" w:hAnsi="Times New Roman"/>
          <w:szCs w:val="24"/>
          <w:lang w:eastAsia="en-US"/>
        </w:rPr>
        <w:t xml:space="preserve">. </w:t>
      </w:r>
      <w:r w:rsidR="004F0C12" w:rsidRPr="00EA1CA4">
        <w:rPr>
          <w:rFonts w:ascii="Times New Roman" w:hAnsi="Times New Roman"/>
          <w:szCs w:val="24"/>
          <w:lang w:eastAsia="en-US"/>
        </w:rPr>
        <w:t>Përmbledhje ekzekutive</w:t>
      </w:r>
      <w:bookmarkEnd w:id="5"/>
    </w:p>
    <w:p w:rsidR="00624E04" w:rsidRPr="00EA1CA4" w:rsidRDefault="00624E04" w:rsidP="00624E04">
      <w:pPr>
        <w:spacing w:line="276" w:lineRule="auto"/>
        <w:jc w:val="both"/>
        <w:rPr>
          <w:b/>
          <w:lang w:eastAsia="en-US"/>
        </w:rPr>
      </w:pPr>
    </w:p>
    <w:p w:rsidR="0029685B" w:rsidRPr="00EA1CA4" w:rsidRDefault="004F0C12" w:rsidP="00624E04">
      <w:pPr>
        <w:spacing w:line="276" w:lineRule="auto"/>
        <w:jc w:val="both"/>
        <w:rPr>
          <w:lang w:eastAsia="en-US"/>
        </w:rPr>
      </w:pPr>
      <w:r w:rsidRPr="00EA1CA4">
        <w:rPr>
          <w:lang w:eastAsia="en-US"/>
        </w:rPr>
        <w:t>Plani Kombëtar i Veprimit (PKV) për kontrollin e TB-së në Kosovë është dokumenti kryesor strategjik për menaxhimin e programit të TB-së</w:t>
      </w:r>
      <w:r w:rsidR="00D1343B" w:rsidRPr="00EA1CA4">
        <w:rPr>
          <w:lang w:eastAsia="en-US"/>
        </w:rPr>
        <w:t>,</w:t>
      </w:r>
      <w:r w:rsidRPr="00EA1CA4">
        <w:rPr>
          <w:lang w:eastAsia="en-US"/>
        </w:rPr>
        <w:t xml:space="preserve"> dhe përbën instrumentin kyç për zbatimin </w:t>
      </w:r>
      <w:r w:rsidR="00D1343B" w:rsidRPr="00EA1CA4">
        <w:rPr>
          <w:lang w:eastAsia="en-US"/>
        </w:rPr>
        <w:t>efektiv dhe efikas të</w:t>
      </w:r>
      <w:r w:rsidRPr="00EA1CA4">
        <w:rPr>
          <w:lang w:eastAsia="en-US"/>
        </w:rPr>
        <w:t xml:space="preserve"> Programit Kombëtar </w:t>
      </w:r>
      <w:r w:rsidR="00D1343B" w:rsidRPr="00EA1CA4">
        <w:rPr>
          <w:lang w:eastAsia="en-US"/>
        </w:rPr>
        <w:t>t</w:t>
      </w:r>
      <w:r w:rsidRPr="00EA1CA4">
        <w:rPr>
          <w:lang w:eastAsia="en-US"/>
        </w:rPr>
        <w:t>ë TB</w:t>
      </w:r>
      <w:r w:rsidR="00D1343B" w:rsidRPr="00EA1CA4">
        <w:rPr>
          <w:lang w:eastAsia="en-US"/>
        </w:rPr>
        <w:t>-së</w:t>
      </w:r>
      <w:r w:rsidRPr="00EA1CA4">
        <w:rPr>
          <w:lang w:eastAsia="en-US"/>
        </w:rPr>
        <w:t>.  PKVTB</w:t>
      </w:r>
      <w:r w:rsidR="00D1343B" w:rsidRPr="00EA1CA4">
        <w:rPr>
          <w:lang w:eastAsia="en-US"/>
        </w:rPr>
        <w:t>,</w:t>
      </w:r>
      <w:r w:rsidRPr="00EA1CA4">
        <w:rPr>
          <w:lang w:eastAsia="en-US"/>
        </w:rPr>
        <w:t xml:space="preserve"> që mbulon periudhën 2022-2024</w:t>
      </w:r>
      <w:r w:rsidR="00D1343B" w:rsidRPr="00EA1CA4">
        <w:rPr>
          <w:lang w:eastAsia="en-US"/>
        </w:rPr>
        <w:t>,</w:t>
      </w:r>
      <w:r w:rsidRPr="00EA1CA4">
        <w:rPr>
          <w:lang w:eastAsia="en-US"/>
        </w:rPr>
        <w:t xml:space="preserve"> do të shërbejë si udhëzues për zyrtarët shëndetësorë, politikëbërësit, menaxherët e programit </w:t>
      </w:r>
      <w:r w:rsidR="00D1343B" w:rsidRPr="00EA1CA4">
        <w:rPr>
          <w:lang w:eastAsia="en-US"/>
        </w:rPr>
        <w:t>të</w:t>
      </w:r>
      <w:r w:rsidRPr="00EA1CA4">
        <w:rPr>
          <w:lang w:eastAsia="en-US"/>
        </w:rPr>
        <w:t xml:space="preserve"> TB</w:t>
      </w:r>
      <w:r w:rsidR="00D1343B" w:rsidRPr="00EA1CA4">
        <w:rPr>
          <w:lang w:eastAsia="en-US"/>
        </w:rPr>
        <w:t>-së</w:t>
      </w:r>
      <w:r w:rsidRPr="00EA1CA4">
        <w:rPr>
          <w:lang w:eastAsia="en-US"/>
        </w:rPr>
        <w:t xml:space="preserve">, partnerët e programit, duke përfshirë organizatat e shoqërisë civile dhe komunitetet e TB </w:t>
      </w:r>
      <w:r w:rsidR="00D1343B" w:rsidRPr="00EA1CA4">
        <w:rPr>
          <w:lang w:eastAsia="en-US"/>
        </w:rPr>
        <w:t>n</w:t>
      </w:r>
      <w:r w:rsidRPr="00EA1CA4">
        <w:rPr>
          <w:lang w:eastAsia="en-US"/>
        </w:rPr>
        <w:t xml:space="preserve">ë planifikimin, zbatimin dhe monitorimin e ndërhyrjeve strategjike për të arritur qëllimin dhe objektivat specifike për </w:t>
      </w:r>
      <w:r w:rsidR="00D1343B" w:rsidRPr="00EA1CA4">
        <w:rPr>
          <w:lang w:eastAsia="en-US"/>
        </w:rPr>
        <w:t xml:space="preserve">t’i dhënë fund </w:t>
      </w:r>
      <w:r w:rsidRPr="00EA1CA4">
        <w:rPr>
          <w:lang w:eastAsia="en-US"/>
        </w:rPr>
        <w:t xml:space="preserve">TB-së në vend. PKV </w:t>
      </w:r>
      <w:r w:rsidR="00D1343B" w:rsidRPr="00EA1CA4">
        <w:rPr>
          <w:lang w:eastAsia="en-US"/>
        </w:rPr>
        <w:t xml:space="preserve">është </w:t>
      </w:r>
      <w:r w:rsidRPr="00EA1CA4">
        <w:rPr>
          <w:lang w:eastAsia="en-US"/>
        </w:rPr>
        <w:t>zhvillua</w:t>
      </w:r>
      <w:r w:rsidR="00D1343B" w:rsidRPr="00EA1CA4">
        <w:rPr>
          <w:lang w:eastAsia="en-US"/>
        </w:rPr>
        <w:t>r</w:t>
      </w:r>
      <w:r w:rsidRPr="00EA1CA4">
        <w:rPr>
          <w:lang w:eastAsia="en-US"/>
        </w:rPr>
        <w:t xml:space="preserve"> përmes procesit pjesëmarrës</w:t>
      </w:r>
      <w:r w:rsidR="00D1343B" w:rsidRPr="00EA1CA4">
        <w:rPr>
          <w:lang w:eastAsia="en-US"/>
        </w:rPr>
        <w:t>,</w:t>
      </w:r>
      <w:r w:rsidRPr="00EA1CA4">
        <w:rPr>
          <w:lang w:eastAsia="en-US"/>
        </w:rPr>
        <w:t xml:space="preserve"> duke angazhu</w:t>
      </w:r>
      <w:r w:rsidR="00013AF1" w:rsidRPr="00EA1CA4">
        <w:rPr>
          <w:lang w:eastAsia="en-US"/>
        </w:rPr>
        <w:t xml:space="preserve">ar një </w:t>
      </w:r>
      <w:r w:rsidR="00D1343B" w:rsidRPr="00EA1CA4">
        <w:rPr>
          <w:lang w:eastAsia="en-US"/>
        </w:rPr>
        <w:t xml:space="preserve">spektër </w:t>
      </w:r>
      <w:r w:rsidR="00013AF1" w:rsidRPr="00EA1CA4">
        <w:rPr>
          <w:lang w:eastAsia="en-US"/>
        </w:rPr>
        <w:t>të gjerë akt</w:t>
      </w:r>
      <w:r w:rsidR="00D1343B" w:rsidRPr="00EA1CA4">
        <w:rPr>
          <w:lang w:eastAsia="en-US"/>
        </w:rPr>
        <w:t>e</w:t>
      </w:r>
      <w:r w:rsidR="00013AF1" w:rsidRPr="00EA1CA4">
        <w:rPr>
          <w:lang w:eastAsia="en-US"/>
        </w:rPr>
        <w:t xml:space="preserve">rësh </w:t>
      </w:r>
      <w:r w:rsidR="00D1343B" w:rsidRPr="00EA1CA4">
        <w:rPr>
          <w:lang w:eastAsia="en-US"/>
        </w:rPr>
        <w:t>t</w:t>
      </w:r>
      <w:r w:rsidR="00013AF1" w:rsidRPr="00EA1CA4">
        <w:rPr>
          <w:lang w:eastAsia="en-US"/>
        </w:rPr>
        <w:t xml:space="preserve">ë </w:t>
      </w:r>
      <w:r w:rsidRPr="00EA1CA4">
        <w:rPr>
          <w:lang w:eastAsia="en-US"/>
        </w:rPr>
        <w:t>TB</w:t>
      </w:r>
      <w:r w:rsidR="00D1343B" w:rsidRPr="00EA1CA4">
        <w:rPr>
          <w:lang w:eastAsia="en-US"/>
        </w:rPr>
        <w:t>-së,</w:t>
      </w:r>
      <w:r w:rsidRPr="00EA1CA4">
        <w:rPr>
          <w:lang w:eastAsia="en-US"/>
        </w:rPr>
        <w:t xml:space="preserve"> me mbështetjen teknike nga Fondi Global.</w:t>
      </w:r>
    </w:p>
    <w:p w:rsidR="00976257" w:rsidRPr="00EA1CA4" w:rsidRDefault="00976257" w:rsidP="00624E04">
      <w:pPr>
        <w:spacing w:line="276" w:lineRule="auto"/>
        <w:jc w:val="both"/>
        <w:rPr>
          <w:b/>
          <w:lang w:eastAsia="en-US"/>
        </w:rPr>
      </w:pPr>
    </w:p>
    <w:p w:rsidR="00121B64" w:rsidRPr="00EA1CA4" w:rsidRDefault="004F0C12" w:rsidP="00624E04">
      <w:pPr>
        <w:spacing w:line="276" w:lineRule="auto"/>
        <w:jc w:val="both"/>
        <w:rPr>
          <w:lang w:eastAsia="en-US"/>
        </w:rPr>
      </w:pPr>
      <w:r w:rsidRPr="00EA1CA4">
        <w:rPr>
          <w:b/>
          <w:lang w:eastAsia="en-US"/>
        </w:rPr>
        <w:t>Vizioni dhe p</w:t>
      </w:r>
      <w:r w:rsidR="005A0162" w:rsidRPr="00EA1CA4">
        <w:rPr>
          <w:b/>
          <w:lang w:eastAsia="en-US"/>
        </w:rPr>
        <w:t>arimet</w:t>
      </w:r>
      <w:r w:rsidR="0029685B" w:rsidRPr="00EA1CA4">
        <w:rPr>
          <w:b/>
          <w:lang w:eastAsia="en-US"/>
        </w:rPr>
        <w:t>:</w:t>
      </w:r>
      <w:r w:rsidR="00D1343B" w:rsidRPr="00EA1CA4">
        <w:rPr>
          <w:b/>
          <w:lang w:eastAsia="en-US"/>
        </w:rPr>
        <w:t xml:space="preserve"> </w:t>
      </w:r>
      <w:r w:rsidR="002922D0" w:rsidRPr="00EA1CA4">
        <w:rPr>
          <w:lang w:eastAsia="en-US"/>
        </w:rPr>
        <w:t>P</w:t>
      </w:r>
      <w:r w:rsidRPr="00EA1CA4">
        <w:rPr>
          <w:lang w:eastAsia="en-US"/>
        </w:rPr>
        <w:t>VTB për Kosovën është harmonizuar me vizionin e Strategjisë së Sektorit të Shëndetësisë dhe parimet e Ligjit për Shëndetësi 2013</w:t>
      </w:r>
      <w:r w:rsidR="00976257" w:rsidRPr="00EA1CA4">
        <w:rPr>
          <w:rStyle w:val="FootnoteReference"/>
          <w:lang w:eastAsia="en-US"/>
        </w:rPr>
        <w:footnoteReference w:id="1"/>
      </w:r>
      <w:r w:rsidR="007F553C" w:rsidRPr="00EA1CA4">
        <w:rPr>
          <w:lang w:eastAsia="en-US"/>
        </w:rPr>
        <w:t xml:space="preserve"> dhe </w:t>
      </w:r>
      <w:r w:rsidR="00887972" w:rsidRPr="00EA1CA4">
        <w:rPr>
          <w:lang w:eastAsia="en-US"/>
        </w:rPr>
        <w:t>me që</w:t>
      </w:r>
      <w:r w:rsidR="00E33F7D" w:rsidRPr="00EA1CA4">
        <w:rPr>
          <w:lang w:eastAsia="en-US"/>
        </w:rPr>
        <w:t>llin</w:t>
      </w:r>
      <w:r w:rsidR="00887972" w:rsidRPr="00EA1CA4">
        <w:rPr>
          <w:lang w:eastAsia="en-US"/>
        </w:rPr>
        <w:t>in</w:t>
      </w:r>
      <w:r w:rsidR="00E33F7D" w:rsidRPr="00EA1CA4">
        <w:rPr>
          <w:lang w:eastAsia="en-US"/>
        </w:rPr>
        <w:t xml:space="preserve"> 3 të</w:t>
      </w:r>
      <w:r w:rsidR="00887972" w:rsidRPr="00EA1CA4">
        <w:rPr>
          <w:lang w:eastAsia="en-US"/>
        </w:rPr>
        <w:t xml:space="preserve"> PSO të Qeverise</w:t>
      </w:r>
      <w:r w:rsidR="00E33F7D" w:rsidRPr="00EA1CA4">
        <w:rPr>
          <w:lang w:eastAsia="en-US"/>
        </w:rPr>
        <w:t>-</w:t>
      </w:r>
      <w:r w:rsidR="00E33F7D" w:rsidRPr="00EA1CA4">
        <w:t xml:space="preserve"> </w:t>
      </w:r>
      <w:r w:rsidR="00E33F7D" w:rsidRPr="00EA1CA4">
        <w:rPr>
          <w:lang w:eastAsia="en-US"/>
        </w:rPr>
        <w:t xml:space="preserve">Ruajtja dhe përparimi i shëndetit. </w:t>
      </w:r>
      <w:r w:rsidR="007F553C" w:rsidRPr="00EA1CA4">
        <w:rPr>
          <w:lang w:eastAsia="en-US"/>
        </w:rPr>
        <w:t xml:space="preserve"> </w:t>
      </w:r>
      <w:r w:rsidR="00976257" w:rsidRPr="00EA1CA4">
        <w:rPr>
          <w:lang w:eastAsia="en-US"/>
        </w:rPr>
        <w:t xml:space="preserve"> </w:t>
      </w:r>
      <w:r w:rsidRPr="00EA1CA4">
        <w:rPr>
          <w:lang w:eastAsia="en-US"/>
        </w:rPr>
        <w:t>PKVTB për Kosovën është gjithashtu në përputhje me vlerën dhe parimet kyçe të Deklaratës Politike të Takimit të Nivelit të Lartë të Kombeve të Bashkuara (UNHLM) për TB</w:t>
      </w:r>
      <w:r w:rsidR="0029685B" w:rsidRPr="00EA1CA4">
        <w:rPr>
          <w:rStyle w:val="FootnoteReference"/>
          <w:lang w:eastAsia="en-US"/>
        </w:rPr>
        <w:footnoteReference w:id="2"/>
      </w:r>
      <w:r w:rsidR="00DC08C9" w:rsidRPr="00EA1CA4">
        <w:rPr>
          <w:lang w:eastAsia="en-US"/>
        </w:rPr>
        <w:t xml:space="preserve"> </w:t>
      </w:r>
      <w:r w:rsidRPr="00EA1CA4">
        <w:rPr>
          <w:lang w:eastAsia="en-US"/>
        </w:rPr>
        <w:t>të lëshuar në vitin 2018 dhe miratuar nga krerët e shteteve</w:t>
      </w:r>
      <w:r w:rsidR="0029685B" w:rsidRPr="00EA1CA4">
        <w:rPr>
          <w:lang w:eastAsia="en-US"/>
        </w:rPr>
        <w:t>.</w:t>
      </w:r>
    </w:p>
    <w:p w:rsidR="002040EF" w:rsidRPr="00EA1CA4" w:rsidRDefault="00887972" w:rsidP="00624E04">
      <w:pPr>
        <w:spacing w:line="276" w:lineRule="auto"/>
        <w:jc w:val="both"/>
      </w:pPr>
      <w:r w:rsidRPr="00EA1CA4">
        <w:t>Vizioni i Planit të Veprimit (P</w:t>
      </w:r>
      <w:r w:rsidR="004F0C12" w:rsidRPr="00EA1CA4">
        <w:t xml:space="preserve">V) </w:t>
      </w:r>
      <w:r w:rsidR="007A48AC" w:rsidRPr="00EA1CA4">
        <w:t>kundër</w:t>
      </w:r>
      <w:r w:rsidR="004F0C12" w:rsidRPr="00EA1CA4">
        <w:t xml:space="preserve"> Tuberkulozi</w:t>
      </w:r>
      <w:r w:rsidR="007A48AC" w:rsidRPr="00EA1CA4">
        <w:t>t</w:t>
      </w:r>
      <w:r w:rsidR="004F0C12" w:rsidRPr="00EA1CA4">
        <w:t xml:space="preserve"> 2022-2024 është që të përpiqet për t'i dhënë fund TB-së në Kosovë me zero vdekje të lidhura me TB-në, zero raste të reja dhe varfëri të lidhur me TB-në deri në vitin 2030.</w:t>
      </w:r>
    </w:p>
    <w:p w:rsidR="0029685B" w:rsidRPr="00EA1CA4" w:rsidRDefault="0029685B" w:rsidP="00624E04">
      <w:pPr>
        <w:spacing w:line="276" w:lineRule="auto"/>
        <w:jc w:val="both"/>
        <w:rPr>
          <w:lang w:eastAsia="en-US"/>
        </w:rPr>
      </w:pPr>
    </w:p>
    <w:p w:rsidR="00C92944" w:rsidRPr="00EA1CA4" w:rsidRDefault="00887972" w:rsidP="00624E04">
      <w:pPr>
        <w:spacing w:line="276" w:lineRule="auto"/>
        <w:jc w:val="both"/>
      </w:pPr>
      <w:r w:rsidRPr="00EA1CA4">
        <w:rPr>
          <w:lang w:eastAsia="en-US"/>
        </w:rPr>
        <w:t>P</w:t>
      </w:r>
      <w:r w:rsidR="004F0C12" w:rsidRPr="00EA1CA4">
        <w:rPr>
          <w:lang w:eastAsia="en-US"/>
        </w:rPr>
        <w:t>VTB bazohet në parimet e mëposhtme</w:t>
      </w:r>
      <w:r w:rsidR="00976257" w:rsidRPr="00EA1CA4">
        <w:rPr>
          <w:lang w:eastAsia="en-US"/>
        </w:rPr>
        <w:t xml:space="preserve">: </w:t>
      </w:r>
    </w:p>
    <w:p w:rsidR="00B023C2" w:rsidRPr="00EA1CA4" w:rsidRDefault="004F0C12">
      <w:pPr>
        <w:pStyle w:val="ListParagraph"/>
        <w:numPr>
          <w:ilvl w:val="0"/>
          <w:numId w:val="1"/>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Barazia, </w:t>
      </w:r>
      <w:r w:rsidR="00DC08C9" w:rsidRPr="00EA1CA4">
        <w:rPr>
          <w:rFonts w:ascii="Times New Roman" w:hAnsi="Times New Roman"/>
          <w:sz w:val="24"/>
          <w:szCs w:val="24"/>
          <w:lang w:val="sq-AL"/>
        </w:rPr>
        <w:t>gjithë përfshirja</w:t>
      </w:r>
      <w:r w:rsidRPr="00EA1CA4">
        <w:rPr>
          <w:rFonts w:ascii="Times New Roman" w:hAnsi="Times New Roman"/>
          <w:sz w:val="24"/>
          <w:szCs w:val="24"/>
          <w:lang w:val="sq-AL"/>
        </w:rPr>
        <w:t xml:space="preserve"> dhe </w:t>
      </w:r>
      <w:r w:rsidR="00DC08C9" w:rsidRPr="00EA1CA4">
        <w:rPr>
          <w:rFonts w:ascii="Times New Roman" w:hAnsi="Times New Roman"/>
          <w:sz w:val="24"/>
          <w:szCs w:val="24"/>
          <w:lang w:val="sq-AL"/>
        </w:rPr>
        <w:t>mos diskriminimi</w:t>
      </w:r>
      <w:r w:rsidRPr="00EA1CA4">
        <w:rPr>
          <w:rFonts w:ascii="Times New Roman" w:hAnsi="Times New Roman"/>
          <w:sz w:val="24"/>
          <w:szCs w:val="24"/>
          <w:lang w:val="sq-AL"/>
        </w:rPr>
        <w:t>, cilësia, prioritizimi i ndërhyrjeve të bazuara në prova, me kosto efektive në kujdesin shëndetësor, qëndrueshmëria dhe vazhdimësia</w:t>
      </w:r>
      <w:r w:rsidR="00976257" w:rsidRPr="00EA1CA4">
        <w:rPr>
          <w:rFonts w:ascii="Times New Roman" w:hAnsi="Times New Roman"/>
          <w:sz w:val="24"/>
          <w:szCs w:val="24"/>
          <w:lang w:val="sq-AL"/>
        </w:rPr>
        <w:t>;</w:t>
      </w:r>
    </w:p>
    <w:p w:rsidR="00B023C2" w:rsidRPr="00EA1CA4" w:rsidRDefault="004F0C12">
      <w:pPr>
        <w:pStyle w:val="ListParagraph"/>
        <w:numPr>
          <w:ilvl w:val="0"/>
          <w:numId w:val="1"/>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Parandalimi dhe zbulimi i hershëm i sëmundjeve nëpërmjet promovimit të shëndetit dhe politikave publike multisketorale dhe shqyrtimit për të </w:t>
      </w:r>
      <w:r w:rsidRPr="00EA1CA4">
        <w:rPr>
          <w:rFonts w:ascii="Times New Roman" w:hAnsi="Times New Roman"/>
          <w:sz w:val="24"/>
          <w:szCs w:val="24"/>
          <w:lang w:val="sq-AL"/>
        </w:rPr>
        <w:lastRenderedPageBreak/>
        <w:t>përmirësuar shëndetin dhe bashkëpërgjegjësinë dhe solidaritetin</w:t>
      </w:r>
      <w:r w:rsidR="00B023C2" w:rsidRPr="00EA1CA4">
        <w:rPr>
          <w:rFonts w:ascii="Times New Roman" w:hAnsi="Times New Roman"/>
          <w:sz w:val="24"/>
          <w:szCs w:val="24"/>
          <w:lang w:val="sq-AL"/>
        </w:rPr>
        <w:t>,</w:t>
      </w:r>
    </w:p>
    <w:p w:rsidR="00C92944" w:rsidRPr="00EA1CA4" w:rsidRDefault="004F0C12">
      <w:pPr>
        <w:pStyle w:val="ListParagraph"/>
        <w:numPr>
          <w:ilvl w:val="0"/>
          <w:numId w:val="1"/>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Kujdestaria dhe llogaridhënia e qeverisë me monitorim</w:t>
      </w:r>
      <w:r w:rsidR="00DC08C9" w:rsidRPr="00EA1CA4">
        <w:rPr>
          <w:rFonts w:ascii="Times New Roman" w:hAnsi="Times New Roman"/>
          <w:sz w:val="24"/>
          <w:szCs w:val="24"/>
          <w:lang w:val="sq-AL"/>
        </w:rPr>
        <w:t>in</w:t>
      </w:r>
      <w:r w:rsidRPr="00EA1CA4">
        <w:rPr>
          <w:rFonts w:ascii="Times New Roman" w:hAnsi="Times New Roman"/>
          <w:sz w:val="24"/>
          <w:szCs w:val="24"/>
          <w:lang w:val="sq-AL"/>
        </w:rPr>
        <w:t xml:space="preserve"> dhe vlerësim</w:t>
      </w:r>
      <w:r w:rsidR="00DC08C9" w:rsidRPr="00EA1CA4">
        <w:rPr>
          <w:rFonts w:ascii="Times New Roman" w:hAnsi="Times New Roman"/>
          <w:sz w:val="24"/>
          <w:szCs w:val="24"/>
          <w:lang w:val="sq-AL"/>
        </w:rPr>
        <w:t>in</w:t>
      </w:r>
      <w:r w:rsidR="00C92944" w:rsidRPr="00EA1CA4">
        <w:rPr>
          <w:rFonts w:ascii="Times New Roman" w:hAnsi="Times New Roman"/>
          <w:sz w:val="24"/>
          <w:szCs w:val="24"/>
          <w:lang w:val="sq-AL"/>
        </w:rPr>
        <w:t>;</w:t>
      </w:r>
    </w:p>
    <w:p w:rsidR="00C92944" w:rsidRPr="00EA1CA4" w:rsidRDefault="004F0C12">
      <w:pPr>
        <w:pStyle w:val="ListParagraph"/>
        <w:numPr>
          <w:ilvl w:val="0"/>
          <w:numId w:val="1"/>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Koalicion</w:t>
      </w:r>
      <w:r w:rsidR="00DC08C9" w:rsidRPr="00EA1CA4">
        <w:rPr>
          <w:rFonts w:ascii="Times New Roman" w:hAnsi="Times New Roman"/>
          <w:sz w:val="24"/>
          <w:szCs w:val="24"/>
          <w:lang w:val="sq-AL"/>
        </w:rPr>
        <w:t>i</w:t>
      </w:r>
      <w:r w:rsidRPr="00EA1CA4">
        <w:rPr>
          <w:rFonts w:ascii="Times New Roman" w:hAnsi="Times New Roman"/>
          <w:sz w:val="24"/>
          <w:szCs w:val="24"/>
          <w:lang w:val="sq-AL"/>
        </w:rPr>
        <w:t xml:space="preserve"> i fortë me organizatat dhe komunitetet e shoqërisë civile</w:t>
      </w:r>
      <w:r w:rsidR="00C92944" w:rsidRPr="00EA1CA4">
        <w:rPr>
          <w:rFonts w:ascii="Times New Roman" w:hAnsi="Times New Roman"/>
          <w:sz w:val="24"/>
          <w:szCs w:val="24"/>
          <w:lang w:val="sq-AL"/>
        </w:rPr>
        <w:t xml:space="preserve">; </w:t>
      </w:r>
    </w:p>
    <w:p w:rsidR="004F0C12" w:rsidRPr="00EA1CA4" w:rsidRDefault="004F0C12">
      <w:pPr>
        <w:pStyle w:val="ListParagraph"/>
        <w:numPr>
          <w:ilvl w:val="0"/>
          <w:numId w:val="1"/>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Mbrojtja dhe promovimi i të drejtave të njeriut, etikës dhe barazisë; dhe</w:t>
      </w:r>
    </w:p>
    <w:p w:rsidR="00C92944" w:rsidRPr="00EA1CA4" w:rsidRDefault="004F0C12">
      <w:pPr>
        <w:pStyle w:val="ListParagraph"/>
        <w:numPr>
          <w:ilvl w:val="0"/>
          <w:numId w:val="1"/>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Përafrimi i PKV dhe objektivave në nivel vendi, me bashkëpunimin global</w:t>
      </w:r>
      <w:r w:rsidR="00C92944" w:rsidRPr="00EA1CA4">
        <w:rPr>
          <w:rFonts w:ascii="Times New Roman" w:hAnsi="Times New Roman"/>
          <w:sz w:val="24"/>
          <w:szCs w:val="24"/>
          <w:lang w:val="sq-AL"/>
        </w:rPr>
        <w:t xml:space="preserve">. </w:t>
      </w:r>
    </w:p>
    <w:p w:rsidR="00C92944" w:rsidRPr="00EA1CA4" w:rsidRDefault="00887972" w:rsidP="00624E04">
      <w:pPr>
        <w:spacing w:line="276" w:lineRule="auto"/>
        <w:jc w:val="both"/>
      </w:pPr>
      <w:r w:rsidRPr="00EA1CA4">
        <w:t>P</w:t>
      </w:r>
      <w:r w:rsidR="004F0C12" w:rsidRPr="00EA1CA4">
        <w:t>V</w:t>
      </w:r>
      <w:r w:rsidRPr="00EA1CA4">
        <w:t>TB</w:t>
      </w:r>
      <w:r w:rsidR="004F0C12" w:rsidRPr="00EA1CA4">
        <w:t xml:space="preserve"> përcakton drejtimet strategjike që Ministria e Shëndetësisë do të ndërmarrë në vitet 2022-2024 për të zbatuar ndërhyrje efektive dhe të bazuara në fakte, të cilat do t'i mundësojnë vendit të arrijë progres të konsiderueshëm drejt realizimit të Objektivit të Zhvillimit të Qëndrueshëm 3</w:t>
      </w:r>
      <w:r w:rsidR="00C92944" w:rsidRPr="00EA1CA4">
        <w:rPr>
          <w:rStyle w:val="FootnoteReference"/>
        </w:rPr>
        <w:footnoteReference w:id="3"/>
      </w:r>
      <w:r w:rsidR="00C92944" w:rsidRPr="00EA1CA4">
        <w:t xml:space="preserve">, </w:t>
      </w:r>
      <w:r w:rsidR="004F0C12" w:rsidRPr="00EA1CA4">
        <w:t xml:space="preserve">veçanërisht, 90% </w:t>
      </w:r>
      <w:r w:rsidR="007A48AC" w:rsidRPr="00EA1CA4">
        <w:t>ulje t</w:t>
      </w:r>
      <w:r w:rsidR="004F0C12" w:rsidRPr="00EA1CA4">
        <w:t>ë raste</w:t>
      </w:r>
      <w:r w:rsidR="007A48AC" w:rsidRPr="00EA1CA4">
        <w:t xml:space="preserve">ve </w:t>
      </w:r>
      <w:r w:rsidR="004F0C12" w:rsidRPr="00EA1CA4">
        <w:t>t</w:t>
      </w:r>
      <w:r w:rsidR="007A48AC" w:rsidRPr="00EA1CA4">
        <w:t>ë</w:t>
      </w:r>
      <w:r w:rsidR="004F0C12" w:rsidRPr="00EA1CA4">
        <w:t xml:space="preserve"> reja </w:t>
      </w:r>
      <w:r w:rsidR="007A48AC" w:rsidRPr="00EA1CA4">
        <w:t>me</w:t>
      </w:r>
      <w:r w:rsidR="004F0C12" w:rsidRPr="00EA1CA4">
        <w:t xml:space="preserve"> TB dhe 80% ulje të vdekshmërisë deri në vitin 2030</w:t>
      </w:r>
      <w:r w:rsidR="007A48AC" w:rsidRPr="00EA1CA4">
        <w:t>,</w:t>
      </w:r>
      <w:r w:rsidR="004F0C12" w:rsidRPr="00EA1CA4">
        <w:t xml:space="preserve"> krahasuar me </w:t>
      </w:r>
      <w:r w:rsidR="007A48AC" w:rsidRPr="00EA1CA4">
        <w:t xml:space="preserve">vitin </w:t>
      </w:r>
      <w:r w:rsidR="004F0C12" w:rsidRPr="00EA1CA4">
        <w:t>2015</w:t>
      </w:r>
      <w:r w:rsidR="00C92944" w:rsidRPr="00EA1CA4">
        <w:t>.</w:t>
      </w:r>
    </w:p>
    <w:p w:rsidR="002040EF" w:rsidRPr="00EA1CA4" w:rsidRDefault="002040EF" w:rsidP="00624E04">
      <w:pPr>
        <w:spacing w:line="276" w:lineRule="auto"/>
        <w:jc w:val="both"/>
      </w:pPr>
    </w:p>
    <w:p w:rsidR="00C92944" w:rsidRPr="00EA1CA4" w:rsidRDefault="004F0C12" w:rsidP="00624E04">
      <w:pPr>
        <w:spacing w:line="276" w:lineRule="auto"/>
        <w:jc w:val="both"/>
      </w:pPr>
      <w:r w:rsidRPr="00EA1CA4">
        <w:rPr>
          <w:b/>
          <w:i/>
        </w:rPr>
        <w:t xml:space="preserve">Qëllimi kryesor i kontrollit të TB-së në Kosovë </w:t>
      </w:r>
      <w:r w:rsidRPr="00EA1CA4">
        <w:t xml:space="preserve">është </w:t>
      </w:r>
      <w:r w:rsidR="007A48AC" w:rsidRPr="00EA1CA4">
        <w:t xml:space="preserve">për </w:t>
      </w:r>
      <w:r w:rsidRPr="00EA1CA4">
        <w:t>të zvogël</w:t>
      </w:r>
      <w:r w:rsidR="007A48AC" w:rsidRPr="00EA1CA4">
        <w:t xml:space="preserve">uar </w:t>
      </w:r>
      <w:r w:rsidRPr="00EA1CA4">
        <w:t xml:space="preserve">barrën e TB-së dhe ndikimin e saj në shëndetin e popullatës, </w:t>
      </w:r>
      <w:r w:rsidR="007A48AC" w:rsidRPr="00EA1CA4">
        <w:t xml:space="preserve">si </w:t>
      </w:r>
      <w:r w:rsidRPr="00EA1CA4">
        <w:t>dhe zhvillimin e përgjithshëm social dhe ekonomik në vend</w:t>
      </w:r>
      <w:r w:rsidR="007A48AC" w:rsidRPr="00EA1CA4">
        <w:t>,</w:t>
      </w:r>
      <w:r w:rsidRPr="00EA1CA4">
        <w:t xml:space="preserve"> duke siguruar qasje universale në diagnostikimin, kujdesin dhe trajtimin në kohë dhe cilësor për të gjitha format e TB-së</w:t>
      </w:r>
      <w:r w:rsidR="00C92944" w:rsidRPr="00EA1CA4">
        <w:t xml:space="preserve">. </w:t>
      </w:r>
    </w:p>
    <w:p w:rsidR="00DD5916" w:rsidRPr="00EA1CA4" w:rsidRDefault="00DD5916" w:rsidP="00DD5916">
      <w:pPr>
        <w:spacing w:line="276" w:lineRule="auto"/>
        <w:jc w:val="both"/>
      </w:pPr>
      <w:r w:rsidRPr="00EA1CA4">
        <w:t>Plani Kombëtar i Veprimit kundër TB-së për Kosovën 2022–2024 është në harmoni me partneritetin STOP TB dhe Planin e Veprimit të OBSH-së për Rajonin e BE-së (2016-2020)</w:t>
      </w:r>
      <w:r w:rsidRPr="00EA1CA4">
        <w:rPr>
          <w:rStyle w:val="FootnoteReference"/>
        </w:rPr>
        <w:footnoteReference w:id="4"/>
      </w:r>
      <w:r w:rsidRPr="00EA1CA4">
        <w:t>, dhe Strategjia e përditësuar e Sektorit të Shëndetësisë për Kosovën 2017-2021, e cila i referohet specifikisht uljes së incidencës së sëmundjeve ngjitëse, siç janë TB dhe HIV, duke zbatuar plane veprimi specifike, monitorimin e rezistencës anti-mikrobike, parandalimin e infeksioneve spitalore dhe forcimin e mbikëqyrjes dhe monitorimin e sëmundjeve ngjitëse.</w:t>
      </w:r>
      <w:bookmarkStart w:id="6" w:name="_Ref82872651"/>
      <w:r w:rsidRPr="00EA1CA4">
        <w:rPr>
          <w:rStyle w:val="FootnoteReference"/>
        </w:rPr>
        <w:footnoteReference w:id="5"/>
      </w:r>
      <w:bookmarkEnd w:id="6"/>
    </w:p>
    <w:p w:rsidR="007A48AC" w:rsidRPr="00EA1CA4" w:rsidRDefault="007A48AC" w:rsidP="00624E04">
      <w:pPr>
        <w:spacing w:line="276" w:lineRule="auto"/>
        <w:jc w:val="both"/>
      </w:pPr>
    </w:p>
    <w:p w:rsidR="00BA7283" w:rsidRPr="00EA1CA4" w:rsidRDefault="00DD5916" w:rsidP="00DD5916">
      <w:pPr>
        <w:spacing w:line="276" w:lineRule="auto"/>
        <w:jc w:val="both"/>
        <w:rPr>
          <w:b/>
        </w:rPr>
      </w:pPr>
      <w:r w:rsidRPr="00EA1CA4">
        <w:rPr>
          <w:b/>
        </w:rPr>
        <w:t xml:space="preserve">Objektiva strategjike e Plani Kombëtar i Veprimit kundër TB-së për Kosovën 2022–2024 është </w:t>
      </w:r>
    </w:p>
    <w:p w:rsidR="00DD5916" w:rsidRPr="00EA1CA4" w:rsidRDefault="00DD5916" w:rsidP="00DD5916">
      <w:pPr>
        <w:spacing w:line="276" w:lineRule="auto"/>
        <w:jc w:val="both"/>
        <w:rPr>
          <w:b/>
        </w:rPr>
      </w:pPr>
      <w:r w:rsidRPr="00EA1CA4">
        <w:rPr>
          <w:b/>
        </w:rPr>
        <w:lastRenderedPageBreak/>
        <w:t>Ulja e vdekshmwrisw dhe swmundshmwrisw nga TB.</w:t>
      </w:r>
    </w:p>
    <w:p w:rsidR="006F4A00" w:rsidRDefault="006F4A00" w:rsidP="00624E04">
      <w:pPr>
        <w:spacing w:line="276" w:lineRule="auto"/>
        <w:jc w:val="both"/>
        <w:rPr>
          <w:b/>
        </w:rPr>
      </w:pPr>
    </w:p>
    <w:p w:rsidR="00C92944" w:rsidRPr="00EA1CA4" w:rsidRDefault="004F0C12" w:rsidP="00624E04">
      <w:pPr>
        <w:spacing w:line="276" w:lineRule="auto"/>
        <w:jc w:val="both"/>
        <w:rPr>
          <w:b/>
        </w:rPr>
      </w:pPr>
      <w:r w:rsidRPr="00EA1CA4">
        <w:rPr>
          <w:b/>
        </w:rPr>
        <w:t>Ndikimi i pritur</w:t>
      </w:r>
      <w:r w:rsidR="00C92944" w:rsidRPr="00EA1CA4">
        <w:rPr>
          <w:b/>
        </w:rPr>
        <w:t xml:space="preserve">: </w:t>
      </w:r>
    </w:p>
    <w:p w:rsidR="00C92944" w:rsidRPr="00EA1CA4" w:rsidRDefault="004F0C12">
      <w:pPr>
        <w:pStyle w:val="ListParagraph"/>
        <w:numPr>
          <w:ilvl w:val="0"/>
          <w:numId w:val="2"/>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Ulja e vdekshmërisë nga TB në Kosovë nga 1.35/100,000 </w:t>
      </w:r>
      <w:r w:rsidR="007A48AC" w:rsidRPr="00EA1CA4">
        <w:rPr>
          <w:rFonts w:ascii="Times New Roman" w:hAnsi="Times New Roman"/>
          <w:sz w:val="24"/>
          <w:szCs w:val="24"/>
          <w:lang w:val="sq-AL"/>
        </w:rPr>
        <w:t xml:space="preserve">të </w:t>
      </w:r>
      <w:r w:rsidRPr="00EA1CA4">
        <w:rPr>
          <w:rFonts w:ascii="Times New Roman" w:hAnsi="Times New Roman"/>
          <w:sz w:val="24"/>
          <w:szCs w:val="24"/>
          <w:lang w:val="sq-AL"/>
        </w:rPr>
        <w:t>popullsi</w:t>
      </w:r>
      <w:r w:rsidR="007A48AC" w:rsidRPr="00EA1CA4">
        <w:rPr>
          <w:rFonts w:ascii="Times New Roman" w:hAnsi="Times New Roman"/>
          <w:sz w:val="24"/>
          <w:szCs w:val="24"/>
          <w:lang w:val="sq-AL"/>
        </w:rPr>
        <w:t>së</w:t>
      </w:r>
      <w:r w:rsidRPr="00EA1CA4">
        <w:rPr>
          <w:rFonts w:ascii="Times New Roman" w:hAnsi="Times New Roman"/>
          <w:sz w:val="24"/>
          <w:szCs w:val="24"/>
          <w:lang w:val="sq-AL"/>
        </w:rPr>
        <w:t xml:space="preserve"> </w:t>
      </w:r>
      <w:r w:rsidR="007A48AC" w:rsidRPr="00EA1CA4">
        <w:rPr>
          <w:rFonts w:ascii="Times New Roman" w:hAnsi="Times New Roman"/>
          <w:sz w:val="24"/>
          <w:szCs w:val="24"/>
          <w:lang w:val="sq-AL"/>
        </w:rPr>
        <w:t xml:space="preserve">sa ishte </w:t>
      </w:r>
      <w:r w:rsidRPr="00EA1CA4">
        <w:rPr>
          <w:rFonts w:ascii="Times New Roman" w:hAnsi="Times New Roman"/>
          <w:sz w:val="24"/>
          <w:szCs w:val="24"/>
          <w:lang w:val="sq-AL"/>
        </w:rPr>
        <w:t>në vitin 2019</w:t>
      </w:r>
      <w:r w:rsidR="007A48AC" w:rsidRPr="00EA1CA4">
        <w:rPr>
          <w:rFonts w:ascii="Times New Roman" w:hAnsi="Times New Roman"/>
          <w:sz w:val="24"/>
          <w:szCs w:val="24"/>
          <w:lang w:val="sq-AL"/>
        </w:rPr>
        <w:t>,</w:t>
      </w:r>
      <w:r w:rsidRPr="00EA1CA4">
        <w:rPr>
          <w:rFonts w:ascii="Times New Roman" w:hAnsi="Times New Roman"/>
          <w:sz w:val="24"/>
          <w:szCs w:val="24"/>
          <w:lang w:val="sq-AL"/>
        </w:rPr>
        <w:t xml:space="preserve"> në nën &lt;1,1/100,000 </w:t>
      </w:r>
      <w:r w:rsidR="007A48AC" w:rsidRPr="00EA1CA4">
        <w:rPr>
          <w:rFonts w:ascii="Times New Roman" w:hAnsi="Times New Roman"/>
          <w:sz w:val="24"/>
          <w:szCs w:val="24"/>
          <w:lang w:val="sq-AL"/>
        </w:rPr>
        <w:t xml:space="preserve">të </w:t>
      </w:r>
      <w:r w:rsidRPr="00EA1CA4">
        <w:rPr>
          <w:rFonts w:ascii="Times New Roman" w:hAnsi="Times New Roman"/>
          <w:sz w:val="24"/>
          <w:szCs w:val="24"/>
          <w:lang w:val="sq-AL"/>
        </w:rPr>
        <w:t>popullsi</w:t>
      </w:r>
      <w:r w:rsidR="007A48AC" w:rsidRPr="00EA1CA4">
        <w:rPr>
          <w:rFonts w:ascii="Times New Roman" w:hAnsi="Times New Roman"/>
          <w:sz w:val="24"/>
          <w:szCs w:val="24"/>
          <w:lang w:val="sq-AL"/>
        </w:rPr>
        <w:t>së</w:t>
      </w:r>
      <w:r w:rsidR="00C92944" w:rsidRPr="00EA1CA4">
        <w:rPr>
          <w:rStyle w:val="FootnoteReference"/>
          <w:rFonts w:ascii="Times New Roman" w:hAnsi="Times New Roman"/>
          <w:sz w:val="24"/>
          <w:szCs w:val="24"/>
          <w:lang w:val="sq-AL"/>
        </w:rPr>
        <w:footnoteReference w:id="6"/>
      </w:r>
      <w:r w:rsidR="00C92944" w:rsidRPr="00EA1CA4">
        <w:rPr>
          <w:rFonts w:ascii="Times New Roman" w:hAnsi="Times New Roman"/>
          <w:sz w:val="24"/>
          <w:szCs w:val="24"/>
          <w:lang w:val="sq-AL"/>
        </w:rPr>
        <w:t>.</w:t>
      </w:r>
      <w:r w:rsidR="00C92944" w:rsidRPr="00EA1CA4">
        <w:rPr>
          <w:rStyle w:val="FootnoteReference"/>
          <w:rFonts w:ascii="Times New Roman" w:hAnsi="Times New Roman"/>
          <w:sz w:val="24"/>
          <w:szCs w:val="24"/>
          <w:lang w:val="sq-AL"/>
        </w:rPr>
        <w:footnoteReference w:id="7"/>
      </w:r>
    </w:p>
    <w:p w:rsidR="00C92944" w:rsidRPr="00EA1CA4" w:rsidRDefault="004F0C12">
      <w:pPr>
        <w:pStyle w:val="ListParagraph"/>
        <w:numPr>
          <w:ilvl w:val="0"/>
          <w:numId w:val="2"/>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Ulja e incidencës së përgjithshme të të gjitha formave të TB (të konfirmuara bakteriologjikisht plus të diagnostikuara klinikisht, rastet e reja dhe të </w:t>
      </w:r>
      <w:r w:rsidR="007A48AC" w:rsidRPr="00EA1CA4">
        <w:rPr>
          <w:rFonts w:ascii="Times New Roman" w:hAnsi="Times New Roman"/>
          <w:sz w:val="24"/>
          <w:szCs w:val="24"/>
          <w:lang w:val="sq-AL"/>
        </w:rPr>
        <w:t>përsëritura</w:t>
      </w:r>
      <w:r w:rsidRPr="00EA1CA4">
        <w:rPr>
          <w:rFonts w:ascii="Times New Roman" w:hAnsi="Times New Roman"/>
          <w:sz w:val="24"/>
          <w:szCs w:val="24"/>
          <w:lang w:val="sq-AL"/>
        </w:rPr>
        <w:t>) nga 33.8</w:t>
      </w:r>
      <w:r w:rsidR="007A48AC" w:rsidRPr="00EA1CA4">
        <w:rPr>
          <w:rFonts w:ascii="Times New Roman" w:hAnsi="Times New Roman"/>
          <w:sz w:val="24"/>
          <w:szCs w:val="24"/>
          <w:lang w:val="sq-AL"/>
        </w:rPr>
        <w:t>/</w:t>
      </w:r>
      <w:r w:rsidRPr="00EA1CA4">
        <w:rPr>
          <w:rFonts w:ascii="Times New Roman" w:hAnsi="Times New Roman"/>
          <w:sz w:val="24"/>
          <w:szCs w:val="24"/>
          <w:lang w:val="sq-AL"/>
        </w:rPr>
        <w:t xml:space="preserve">100,000 </w:t>
      </w:r>
      <w:r w:rsidR="007A48AC" w:rsidRPr="00EA1CA4">
        <w:rPr>
          <w:rFonts w:ascii="Times New Roman" w:hAnsi="Times New Roman"/>
          <w:sz w:val="24"/>
          <w:szCs w:val="24"/>
          <w:lang w:val="sq-AL"/>
        </w:rPr>
        <w:t xml:space="preserve">të </w:t>
      </w:r>
      <w:r w:rsidRPr="00EA1CA4">
        <w:rPr>
          <w:rFonts w:ascii="Times New Roman" w:hAnsi="Times New Roman"/>
          <w:sz w:val="24"/>
          <w:szCs w:val="24"/>
          <w:lang w:val="sq-AL"/>
        </w:rPr>
        <w:t>popull</w:t>
      </w:r>
      <w:r w:rsidR="007A48AC" w:rsidRPr="00EA1CA4">
        <w:rPr>
          <w:rFonts w:ascii="Times New Roman" w:hAnsi="Times New Roman"/>
          <w:sz w:val="24"/>
          <w:szCs w:val="24"/>
          <w:lang w:val="sq-AL"/>
        </w:rPr>
        <w:t>sis</w:t>
      </w:r>
      <w:r w:rsidRPr="00EA1CA4">
        <w:rPr>
          <w:rFonts w:ascii="Times New Roman" w:hAnsi="Times New Roman"/>
          <w:sz w:val="24"/>
          <w:szCs w:val="24"/>
          <w:lang w:val="sq-AL"/>
        </w:rPr>
        <w:t xml:space="preserve">ë në </w:t>
      </w:r>
      <w:r w:rsidR="007A48AC" w:rsidRPr="00EA1CA4">
        <w:rPr>
          <w:rFonts w:ascii="Times New Roman" w:hAnsi="Times New Roman"/>
          <w:sz w:val="24"/>
          <w:szCs w:val="24"/>
          <w:lang w:val="sq-AL"/>
        </w:rPr>
        <w:t xml:space="preserve">vitin </w:t>
      </w:r>
      <w:r w:rsidRPr="00EA1CA4">
        <w:rPr>
          <w:rFonts w:ascii="Times New Roman" w:hAnsi="Times New Roman"/>
          <w:sz w:val="24"/>
          <w:szCs w:val="24"/>
          <w:lang w:val="sq-AL"/>
        </w:rPr>
        <w:t>2019</w:t>
      </w:r>
      <w:r w:rsidR="00C92944" w:rsidRPr="00EA1CA4">
        <w:rPr>
          <w:rStyle w:val="FootnoteReference"/>
          <w:rFonts w:ascii="Times New Roman" w:hAnsi="Times New Roman"/>
          <w:sz w:val="24"/>
          <w:szCs w:val="24"/>
          <w:lang w:val="sq-AL"/>
        </w:rPr>
        <w:footnoteReference w:id="8"/>
      </w:r>
      <w:r w:rsidR="007A48AC" w:rsidRPr="00EA1CA4">
        <w:rPr>
          <w:rFonts w:ascii="Times New Roman" w:hAnsi="Times New Roman"/>
          <w:sz w:val="24"/>
          <w:szCs w:val="24"/>
          <w:lang w:val="sq-AL"/>
        </w:rPr>
        <w:t xml:space="preserve"> </w:t>
      </w:r>
      <w:r w:rsidR="0032789F" w:rsidRPr="00EA1CA4">
        <w:rPr>
          <w:rFonts w:ascii="Times New Roman" w:hAnsi="Times New Roman"/>
          <w:sz w:val="24"/>
          <w:szCs w:val="24"/>
          <w:lang w:val="sq-AL"/>
        </w:rPr>
        <w:t>në</w:t>
      </w:r>
      <w:r w:rsidR="007A48AC" w:rsidRPr="00EA1CA4">
        <w:rPr>
          <w:rFonts w:ascii="Times New Roman" w:hAnsi="Times New Roman"/>
          <w:sz w:val="24"/>
          <w:szCs w:val="24"/>
          <w:lang w:val="sq-AL"/>
        </w:rPr>
        <w:t xml:space="preserve"> </w:t>
      </w:r>
      <w:r w:rsidR="00C92944" w:rsidRPr="00EA1CA4">
        <w:rPr>
          <w:rFonts w:ascii="Times New Roman" w:hAnsi="Times New Roman"/>
          <w:sz w:val="24"/>
          <w:szCs w:val="24"/>
          <w:lang w:val="sq-AL"/>
        </w:rPr>
        <w:t>&lt;20.0</w:t>
      </w:r>
      <w:r w:rsidR="007A48AC" w:rsidRPr="00EA1CA4">
        <w:rPr>
          <w:rFonts w:ascii="Times New Roman" w:hAnsi="Times New Roman"/>
          <w:sz w:val="24"/>
          <w:szCs w:val="24"/>
          <w:lang w:val="sq-AL"/>
        </w:rPr>
        <w:t>/</w:t>
      </w:r>
      <w:r w:rsidR="00C92944" w:rsidRPr="00EA1CA4">
        <w:rPr>
          <w:rFonts w:ascii="Times New Roman" w:hAnsi="Times New Roman"/>
          <w:sz w:val="24"/>
          <w:szCs w:val="24"/>
          <w:lang w:val="sq-AL"/>
        </w:rPr>
        <w:t xml:space="preserve">100,000 </w:t>
      </w:r>
      <w:r w:rsidR="007A48AC" w:rsidRPr="00EA1CA4">
        <w:rPr>
          <w:rFonts w:ascii="Times New Roman" w:hAnsi="Times New Roman"/>
          <w:sz w:val="24"/>
          <w:szCs w:val="24"/>
          <w:lang w:val="sq-AL"/>
        </w:rPr>
        <w:t xml:space="preserve">të </w:t>
      </w:r>
      <w:r w:rsidR="00C92944" w:rsidRPr="00EA1CA4">
        <w:rPr>
          <w:rFonts w:ascii="Times New Roman" w:hAnsi="Times New Roman"/>
          <w:sz w:val="24"/>
          <w:szCs w:val="24"/>
          <w:lang w:val="sq-AL"/>
        </w:rPr>
        <w:t>popul</w:t>
      </w:r>
      <w:r w:rsidR="0032789F" w:rsidRPr="00EA1CA4">
        <w:rPr>
          <w:rFonts w:ascii="Times New Roman" w:hAnsi="Times New Roman"/>
          <w:sz w:val="24"/>
          <w:szCs w:val="24"/>
          <w:lang w:val="sq-AL"/>
        </w:rPr>
        <w:t>lsi</w:t>
      </w:r>
      <w:r w:rsidR="007A48AC" w:rsidRPr="00EA1CA4">
        <w:rPr>
          <w:rFonts w:ascii="Times New Roman" w:hAnsi="Times New Roman"/>
          <w:sz w:val="24"/>
          <w:szCs w:val="24"/>
          <w:lang w:val="sq-AL"/>
        </w:rPr>
        <w:t>së</w:t>
      </w:r>
      <w:r w:rsidR="0032789F" w:rsidRPr="00EA1CA4">
        <w:rPr>
          <w:rFonts w:ascii="Times New Roman" w:hAnsi="Times New Roman"/>
          <w:sz w:val="24"/>
          <w:szCs w:val="24"/>
          <w:lang w:val="sq-AL"/>
        </w:rPr>
        <w:t xml:space="preserve"> në</w:t>
      </w:r>
      <w:r w:rsidR="00C92944" w:rsidRPr="00EA1CA4">
        <w:rPr>
          <w:rFonts w:ascii="Times New Roman" w:hAnsi="Times New Roman"/>
          <w:sz w:val="24"/>
          <w:szCs w:val="24"/>
          <w:lang w:val="sq-AL"/>
        </w:rPr>
        <w:t xml:space="preserve"> </w:t>
      </w:r>
      <w:r w:rsidR="007A48AC" w:rsidRPr="00EA1CA4">
        <w:rPr>
          <w:rFonts w:ascii="Times New Roman" w:hAnsi="Times New Roman"/>
          <w:sz w:val="24"/>
          <w:szCs w:val="24"/>
          <w:lang w:val="sq-AL"/>
        </w:rPr>
        <w:t xml:space="preserve">vitin </w:t>
      </w:r>
      <w:r w:rsidR="00C92944" w:rsidRPr="00EA1CA4">
        <w:rPr>
          <w:rFonts w:ascii="Times New Roman" w:hAnsi="Times New Roman"/>
          <w:sz w:val="24"/>
          <w:szCs w:val="24"/>
          <w:lang w:val="sq-AL"/>
        </w:rPr>
        <w:t>2024</w:t>
      </w:r>
      <w:r w:rsidR="007A48AC" w:rsidRPr="00EA1CA4">
        <w:rPr>
          <w:rFonts w:ascii="Times New Roman" w:hAnsi="Times New Roman"/>
          <w:sz w:val="24"/>
          <w:szCs w:val="24"/>
          <w:lang w:val="sq-AL"/>
        </w:rPr>
        <w:t>.</w:t>
      </w:r>
      <w:r w:rsidR="00C92944" w:rsidRPr="00EA1CA4">
        <w:rPr>
          <w:rStyle w:val="FootnoteReference"/>
          <w:rFonts w:ascii="Times New Roman" w:hAnsi="Times New Roman"/>
          <w:sz w:val="24"/>
          <w:szCs w:val="24"/>
          <w:lang w:val="sq-AL"/>
        </w:rPr>
        <w:footnoteReference w:id="9"/>
      </w:r>
    </w:p>
    <w:p w:rsidR="00C92944" w:rsidRPr="00EA1CA4" w:rsidRDefault="00887972" w:rsidP="00624E04">
      <w:pPr>
        <w:spacing w:line="276" w:lineRule="auto"/>
        <w:jc w:val="both"/>
      </w:pPr>
      <w:r w:rsidRPr="00EA1CA4">
        <w:t xml:space="preserve">Plani </w:t>
      </w:r>
      <w:r w:rsidR="0032789F" w:rsidRPr="00EA1CA4">
        <w:t xml:space="preserve">i Veprimit </w:t>
      </w:r>
      <w:r w:rsidR="007A48AC" w:rsidRPr="00EA1CA4">
        <w:t>kundër</w:t>
      </w:r>
      <w:r w:rsidR="0032789F" w:rsidRPr="00EA1CA4">
        <w:t xml:space="preserve"> TB</w:t>
      </w:r>
      <w:r w:rsidR="007A48AC" w:rsidRPr="00EA1CA4">
        <w:t>-së</w:t>
      </w:r>
      <w:r w:rsidR="0032789F" w:rsidRPr="00EA1CA4">
        <w:t xml:space="preserve"> është i organizuar rreth 5 objektivave</w:t>
      </w:r>
      <w:r w:rsidR="00013AF1" w:rsidRPr="00EA1CA4">
        <w:t xml:space="preserve"> specifike</w:t>
      </w:r>
      <w:r w:rsidR="00C92944" w:rsidRPr="00EA1CA4">
        <w:t xml:space="preserve"> (</w:t>
      </w:r>
      <w:r w:rsidR="0032789F" w:rsidRPr="00EA1CA4">
        <w:t>OS</w:t>
      </w:r>
      <w:r w:rsidR="00C92944" w:rsidRPr="00EA1CA4">
        <w:t>):</w:t>
      </w:r>
    </w:p>
    <w:p w:rsidR="00976257" w:rsidRPr="00EA1CA4" w:rsidRDefault="00976257" w:rsidP="00624E04">
      <w:pPr>
        <w:spacing w:line="276" w:lineRule="auto"/>
        <w:jc w:val="both"/>
        <w:rPr>
          <w:b/>
          <w:i/>
        </w:rPr>
      </w:pPr>
    </w:p>
    <w:p w:rsidR="00C92944" w:rsidRPr="00EA1CA4" w:rsidRDefault="0032789F" w:rsidP="00624E04">
      <w:pPr>
        <w:spacing w:line="276" w:lineRule="auto"/>
        <w:jc w:val="both"/>
      </w:pPr>
      <w:r w:rsidRPr="00EA1CA4">
        <w:rPr>
          <w:b/>
          <w:i/>
        </w:rPr>
        <w:t>OS</w:t>
      </w:r>
      <w:r w:rsidR="00C92944" w:rsidRPr="00EA1CA4">
        <w:rPr>
          <w:b/>
          <w:i/>
        </w:rPr>
        <w:t xml:space="preserve"> 1:</w:t>
      </w:r>
      <w:r w:rsidR="00C92944" w:rsidRPr="00EA1CA4">
        <w:tab/>
      </w:r>
      <w:r w:rsidRPr="00EA1CA4">
        <w:t xml:space="preserve">Parandalimi, trajtimi dhe kujdesi i integruar i </w:t>
      </w:r>
      <w:r w:rsidR="008F0C51" w:rsidRPr="00EA1CA4">
        <w:t>TB</w:t>
      </w:r>
      <w:r w:rsidRPr="00EA1CA4">
        <w:t xml:space="preserve"> me në qendër pacientin</w:t>
      </w:r>
      <w:r w:rsidR="007A48AC" w:rsidRPr="00EA1CA4">
        <w:t>.</w:t>
      </w:r>
    </w:p>
    <w:p w:rsidR="00C92944" w:rsidRPr="00EA1CA4" w:rsidRDefault="0032789F" w:rsidP="00624E04">
      <w:pPr>
        <w:spacing w:line="276" w:lineRule="auto"/>
        <w:ind w:left="720" w:hanging="720"/>
        <w:jc w:val="both"/>
      </w:pPr>
      <w:r w:rsidRPr="00EA1CA4">
        <w:rPr>
          <w:b/>
          <w:i/>
        </w:rPr>
        <w:t>OS</w:t>
      </w:r>
      <w:r w:rsidR="00C92944" w:rsidRPr="00EA1CA4">
        <w:rPr>
          <w:b/>
          <w:i/>
        </w:rPr>
        <w:t xml:space="preserve"> 2:</w:t>
      </w:r>
      <w:r w:rsidR="00C92944" w:rsidRPr="00EA1CA4">
        <w:tab/>
      </w:r>
      <w:r w:rsidRPr="00EA1CA4">
        <w:t xml:space="preserve">Sigurimi i </w:t>
      </w:r>
      <w:r w:rsidR="008F0C51" w:rsidRPr="00EA1CA4">
        <w:t>reagimit t</w:t>
      </w:r>
      <w:r w:rsidRPr="00EA1CA4">
        <w:t>ë qëndruesh</w:t>
      </w:r>
      <w:r w:rsidR="008F0C51" w:rsidRPr="00EA1CA4">
        <w:t>ë</w:t>
      </w:r>
      <w:r w:rsidRPr="00EA1CA4">
        <w:t xml:space="preserve">m ndaj TB-së përmes forcimit të koordinimit, </w:t>
      </w:r>
      <w:r w:rsidR="008F0C51" w:rsidRPr="00EA1CA4">
        <w:t>lidershipit</w:t>
      </w:r>
      <w:r w:rsidRPr="00EA1CA4">
        <w:t xml:space="preserve"> dhe </w:t>
      </w:r>
      <w:r w:rsidR="008F0C51" w:rsidRPr="00EA1CA4">
        <w:t>zotimit fi</w:t>
      </w:r>
      <w:r w:rsidRPr="00EA1CA4">
        <w:t>nanciar dhe politik të Qeverisë</w:t>
      </w:r>
      <w:r w:rsidR="00C92944" w:rsidRPr="00EA1CA4">
        <w:t>.</w:t>
      </w:r>
    </w:p>
    <w:p w:rsidR="00C92944" w:rsidRPr="00EA1CA4" w:rsidRDefault="0032789F" w:rsidP="00624E04">
      <w:pPr>
        <w:spacing w:line="276" w:lineRule="auto"/>
        <w:ind w:left="720" w:hanging="720"/>
        <w:jc w:val="both"/>
      </w:pPr>
      <w:r w:rsidRPr="00EA1CA4">
        <w:rPr>
          <w:b/>
          <w:i/>
        </w:rPr>
        <w:t>OS</w:t>
      </w:r>
      <w:r w:rsidR="00C92944" w:rsidRPr="00EA1CA4">
        <w:rPr>
          <w:b/>
          <w:i/>
        </w:rPr>
        <w:t xml:space="preserve"> 3:</w:t>
      </w:r>
      <w:r w:rsidR="007A48AC" w:rsidRPr="00EA1CA4">
        <w:rPr>
          <w:b/>
          <w:i/>
        </w:rPr>
        <w:t xml:space="preserve"> </w:t>
      </w:r>
      <w:r w:rsidR="008F0C51" w:rsidRPr="00EA1CA4">
        <w:t>Ndërtimi i si</w:t>
      </w:r>
      <w:r w:rsidRPr="00EA1CA4">
        <w:t>steme</w:t>
      </w:r>
      <w:r w:rsidR="007A48AC" w:rsidRPr="00EA1CA4">
        <w:t xml:space="preserve">ve reziliente </w:t>
      </w:r>
      <w:r w:rsidRPr="00EA1CA4">
        <w:t>dhe të qëndrueshme për shëndetin</w:t>
      </w:r>
      <w:r w:rsidR="007A48AC" w:rsidRPr="00EA1CA4">
        <w:t>,</w:t>
      </w:r>
      <w:r w:rsidRPr="00EA1CA4">
        <w:t xml:space="preserve"> për të lehtësuar tranzicionin e </w:t>
      </w:r>
      <w:r w:rsidR="008F0C51" w:rsidRPr="00EA1CA4">
        <w:t xml:space="preserve">lehtë </w:t>
      </w:r>
      <w:r w:rsidR="007A48AC" w:rsidRPr="00EA1CA4">
        <w:t>d</w:t>
      </w:r>
      <w:r w:rsidRPr="00EA1CA4">
        <w:t xml:space="preserve">he zbatimin efektiv të </w:t>
      </w:r>
      <w:r w:rsidR="007A48AC" w:rsidRPr="00EA1CA4">
        <w:t>Programit K</w:t>
      </w:r>
      <w:r w:rsidRPr="00EA1CA4">
        <w:t xml:space="preserve">ombëtar </w:t>
      </w:r>
      <w:r w:rsidR="007A48AC" w:rsidRPr="00EA1CA4">
        <w:t>kundër</w:t>
      </w:r>
      <w:r w:rsidRPr="00EA1CA4">
        <w:t xml:space="preserve"> TB</w:t>
      </w:r>
      <w:r w:rsidR="007A48AC" w:rsidRPr="00EA1CA4">
        <w:t>-së.</w:t>
      </w:r>
    </w:p>
    <w:p w:rsidR="00C92944" w:rsidRPr="00EA1CA4" w:rsidRDefault="0032789F" w:rsidP="00624E04">
      <w:pPr>
        <w:spacing w:line="276" w:lineRule="auto"/>
        <w:jc w:val="both"/>
      </w:pPr>
      <w:r w:rsidRPr="00EA1CA4">
        <w:rPr>
          <w:b/>
          <w:i/>
        </w:rPr>
        <w:t xml:space="preserve">OS </w:t>
      </w:r>
      <w:r w:rsidR="00C92944" w:rsidRPr="00EA1CA4">
        <w:rPr>
          <w:b/>
          <w:i/>
        </w:rPr>
        <w:t>4:</w:t>
      </w:r>
      <w:r w:rsidR="00C92944" w:rsidRPr="00EA1CA4">
        <w:tab/>
      </w:r>
      <w:r w:rsidR="008F0C51" w:rsidRPr="00EA1CA4">
        <w:t>Forcimi dhe a</w:t>
      </w:r>
      <w:r w:rsidR="007A48AC" w:rsidRPr="00EA1CA4">
        <w:t xml:space="preserve">vokimi </w:t>
      </w:r>
      <w:r w:rsidR="008F0C51" w:rsidRPr="00EA1CA4">
        <w:t>i</w:t>
      </w:r>
      <w:r w:rsidRPr="00EA1CA4">
        <w:t xml:space="preserve"> sistemeve të komunitetit</w:t>
      </w:r>
    </w:p>
    <w:p w:rsidR="00C92944" w:rsidRPr="00EA1CA4" w:rsidRDefault="0032789F" w:rsidP="00624E04">
      <w:pPr>
        <w:spacing w:line="276" w:lineRule="auto"/>
        <w:jc w:val="both"/>
      </w:pPr>
      <w:r w:rsidRPr="00EA1CA4">
        <w:rPr>
          <w:b/>
          <w:i/>
        </w:rPr>
        <w:t>OS</w:t>
      </w:r>
      <w:r w:rsidR="00C92944" w:rsidRPr="00EA1CA4">
        <w:rPr>
          <w:b/>
          <w:i/>
        </w:rPr>
        <w:t xml:space="preserve"> 5:</w:t>
      </w:r>
      <w:r w:rsidR="00C92944" w:rsidRPr="00EA1CA4">
        <w:tab/>
      </w:r>
      <w:r w:rsidRPr="00EA1CA4">
        <w:t>Kërkime dhe inovacione të intensifikuara</w:t>
      </w:r>
    </w:p>
    <w:p w:rsidR="00EA1CA4" w:rsidRPr="00EA1CA4" w:rsidRDefault="0032789F" w:rsidP="00EA1CA4">
      <w:pPr>
        <w:spacing w:line="276" w:lineRule="auto"/>
        <w:jc w:val="both"/>
        <w:rPr>
          <w:bCs/>
        </w:rPr>
      </w:pPr>
      <w:r w:rsidRPr="00EA1CA4">
        <w:rPr>
          <w:bCs/>
        </w:rPr>
        <w:t xml:space="preserve">Ndërhyrjet strategjike </w:t>
      </w:r>
      <w:r w:rsidR="007A48AC" w:rsidRPr="00EA1CA4">
        <w:rPr>
          <w:bCs/>
        </w:rPr>
        <w:t xml:space="preserve">sipas </w:t>
      </w:r>
      <w:r w:rsidRPr="00EA1CA4">
        <w:rPr>
          <w:bCs/>
        </w:rPr>
        <w:t>secili</w:t>
      </w:r>
      <w:r w:rsidR="007A48AC" w:rsidRPr="00EA1CA4">
        <w:rPr>
          <w:bCs/>
        </w:rPr>
        <w:t>t</w:t>
      </w:r>
      <w:r w:rsidRPr="00EA1CA4">
        <w:rPr>
          <w:bCs/>
        </w:rPr>
        <w:t xml:space="preserve"> objektiv specifi</w:t>
      </w:r>
      <w:r w:rsidR="007A48AC" w:rsidRPr="00EA1CA4">
        <w:rPr>
          <w:bCs/>
        </w:rPr>
        <w:t>k</w:t>
      </w:r>
      <w:r w:rsidRPr="00EA1CA4">
        <w:rPr>
          <w:bCs/>
        </w:rPr>
        <w:t xml:space="preserve"> janë përshkruar shkurtimisht në dokumentin strategjik. Nën-aktivitetet për të realizuar objektivat specifike janë të detajuara në Planin Kombëtar të Veprimit </w:t>
      </w:r>
      <w:r w:rsidR="007A48AC" w:rsidRPr="00EA1CA4">
        <w:rPr>
          <w:bCs/>
        </w:rPr>
        <w:t>kundër</w:t>
      </w:r>
      <w:r w:rsidRPr="00EA1CA4">
        <w:rPr>
          <w:bCs/>
        </w:rPr>
        <w:t xml:space="preserve"> TB</w:t>
      </w:r>
      <w:r w:rsidR="007A48AC" w:rsidRPr="00EA1CA4">
        <w:rPr>
          <w:bCs/>
        </w:rPr>
        <w:t>-së,</w:t>
      </w:r>
      <w:r w:rsidRPr="00EA1CA4">
        <w:rPr>
          <w:bCs/>
        </w:rPr>
        <w:t xml:space="preserve"> që ofron informacion</w:t>
      </w:r>
      <w:r w:rsidR="007A48AC" w:rsidRPr="00EA1CA4">
        <w:rPr>
          <w:bCs/>
        </w:rPr>
        <w:t>e</w:t>
      </w:r>
      <w:r w:rsidRPr="00EA1CA4">
        <w:rPr>
          <w:bCs/>
        </w:rPr>
        <w:t xml:space="preserve"> të detajuar</w:t>
      </w:r>
      <w:r w:rsidR="007A48AC" w:rsidRPr="00EA1CA4">
        <w:rPr>
          <w:bCs/>
        </w:rPr>
        <w:t>a</w:t>
      </w:r>
      <w:r w:rsidRPr="00EA1CA4">
        <w:rPr>
          <w:bCs/>
        </w:rPr>
        <w:t xml:space="preserve"> në lidhje me inputet, objektivat, periudhën e zbatimit dhe buxhetin e kërkuar për </w:t>
      </w:r>
      <w:r w:rsidR="007A48AC" w:rsidRPr="00EA1CA4">
        <w:rPr>
          <w:bCs/>
        </w:rPr>
        <w:t xml:space="preserve">secilin </w:t>
      </w:r>
      <w:r w:rsidRPr="00EA1CA4">
        <w:rPr>
          <w:bCs/>
        </w:rPr>
        <w:t>nën-aktivitet</w:t>
      </w:r>
      <w:r w:rsidR="00C92944" w:rsidRPr="00EA1CA4">
        <w:rPr>
          <w:bCs/>
        </w:rPr>
        <w:t xml:space="preserve">. </w:t>
      </w:r>
    </w:p>
    <w:p w:rsidR="00EA1CA4" w:rsidRPr="00EA1CA4" w:rsidRDefault="00EA1CA4" w:rsidP="00EA1CA4">
      <w:pPr>
        <w:spacing w:line="276" w:lineRule="auto"/>
        <w:jc w:val="both"/>
        <w:rPr>
          <w:bCs/>
        </w:rPr>
      </w:pPr>
    </w:p>
    <w:p w:rsidR="00EA1CA4" w:rsidRPr="00EA1CA4" w:rsidRDefault="00EA1CA4" w:rsidP="00EA1CA4">
      <w:pPr>
        <w:spacing w:line="276" w:lineRule="auto"/>
        <w:jc w:val="both"/>
        <w:rPr>
          <w:b/>
        </w:rPr>
      </w:pPr>
      <w:r w:rsidRPr="00EA1CA4">
        <w:t xml:space="preserve">Financimi i PV për TB 2022-2024 behët kryesisht nga </w:t>
      </w:r>
      <w:r w:rsidRPr="00EA1CA4">
        <w:rPr>
          <w:b/>
        </w:rPr>
        <w:t>Donatori</w:t>
      </w:r>
      <w:r w:rsidRPr="00EA1CA4">
        <w:t xml:space="preserve"> </w:t>
      </w:r>
      <w:r w:rsidRPr="00EA1CA4">
        <w:rPr>
          <w:b/>
        </w:rPr>
        <w:t>Fondi Global</w:t>
      </w:r>
      <w:r w:rsidRPr="00EA1CA4">
        <w:t xml:space="preserve"> në shumën prej </w:t>
      </w:r>
      <w:r w:rsidRPr="00EA1CA4">
        <w:rPr>
          <w:b/>
        </w:rPr>
        <w:t>900,000.00.</w:t>
      </w:r>
    </w:p>
    <w:p w:rsidR="00EA1CA4" w:rsidRPr="00EA1CA4" w:rsidRDefault="00EA1CA4" w:rsidP="00EA1CA4">
      <w:pPr>
        <w:spacing w:line="276" w:lineRule="auto"/>
        <w:sectPr w:rsidR="00EA1CA4" w:rsidRPr="00EA1CA4" w:rsidSect="00400071">
          <w:footerReference w:type="default" r:id="rId9"/>
          <w:pgSz w:w="12240" w:h="15840"/>
          <w:pgMar w:top="540" w:right="1041" w:bottom="1080" w:left="1276" w:header="720" w:footer="465" w:gutter="0"/>
          <w:cols w:space="720"/>
          <w:rtlGutter/>
        </w:sectPr>
      </w:pPr>
      <w:r w:rsidRPr="00EA1CA4">
        <w:lastRenderedPageBreak/>
        <w:t>Nga buxheti i Ministrisë së Shëndetësisë në PV për TB, planifikohet buxhet për përkrahjen e OJQ-ve që kujdesen për parandalimin dhe kujdesin ndaj të sëmurëve me TB</w:t>
      </w:r>
      <w:r>
        <w:t>.</w:t>
      </w:r>
      <w:r w:rsidRPr="00EA1CA4">
        <w:t xml:space="preserve"> </w:t>
      </w:r>
      <w:r>
        <w:t>B</w:t>
      </w:r>
      <w:r w:rsidRPr="00EA1CA4">
        <w:t>uxheti vlerësohet të jetë për</w:t>
      </w:r>
      <w:r w:rsidRPr="00EA1CA4">
        <w:rPr>
          <w:b/>
        </w:rPr>
        <w:t xml:space="preserve"> </w:t>
      </w:r>
      <w:r w:rsidRPr="00EA1CA4">
        <w:t>vitet</w:t>
      </w:r>
      <w:r w:rsidRPr="00EA1CA4">
        <w:rPr>
          <w:b/>
        </w:rPr>
        <w:t xml:space="preserve"> 2023 dhe 2024 në shumë 50,000.00€.</w:t>
      </w:r>
    </w:p>
    <w:p w:rsidR="00E33F7D" w:rsidRDefault="00E33F7D" w:rsidP="00E33F7D">
      <w:pPr>
        <w:rPr>
          <w:lang w:eastAsia="en-US"/>
        </w:rPr>
      </w:pPr>
    </w:p>
    <w:p w:rsidR="006F4A00" w:rsidRPr="00EA1CA4" w:rsidRDefault="006F4A00" w:rsidP="00E33F7D">
      <w:pPr>
        <w:rPr>
          <w:lang w:eastAsia="en-US"/>
        </w:rPr>
      </w:pPr>
    </w:p>
    <w:p w:rsidR="00121B64" w:rsidRPr="00EA1CA4" w:rsidRDefault="007F553C" w:rsidP="00DD5916">
      <w:pPr>
        <w:pStyle w:val="Heading1"/>
        <w:rPr>
          <w:rFonts w:ascii="Times New Roman" w:hAnsi="Times New Roman"/>
          <w:szCs w:val="24"/>
        </w:rPr>
      </w:pPr>
      <w:bookmarkStart w:id="7" w:name="_Toc108517250"/>
      <w:r w:rsidRPr="00EA1CA4">
        <w:rPr>
          <w:rFonts w:ascii="Times New Roman" w:hAnsi="Times New Roman"/>
          <w:szCs w:val="24"/>
        </w:rPr>
        <w:t xml:space="preserve">2.  </w:t>
      </w:r>
      <w:r w:rsidR="0032789F" w:rsidRPr="00EA1CA4">
        <w:rPr>
          <w:rFonts w:ascii="Times New Roman" w:hAnsi="Times New Roman"/>
          <w:szCs w:val="24"/>
        </w:rPr>
        <w:t>Hyrje</w:t>
      </w:r>
      <w:bookmarkEnd w:id="7"/>
    </w:p>
    <w:p w:rsidR="007F553C" w:rsidRPr="00EA1CA4" w:rsidRDefault="007F553C" w:rsidP="007F553C">
      <w:pPr>
        <w:rPr>
          <w:lang w:eastAsia="en-US"/>
        </w:rPr>
      </w:pPr>
    </w:p>
    <w:p w:rsidR="002A5295" w:rsidRPr="00EA1CA4" w:rsidRDefault="00887972" w:rsidP="00624E04">
      <w:pPr>
        <w:spacing w:after="60" w:line="276" w:lineRule="auto"/>
        <w:jc w:val="both"/>
      </w:pPr>
      <w:r w:rsidRPr="00EA1CA4">
        <w:t>Plani</w:t>
      </w:r>
      <w:r w:rsidR="0032789F" w:rsidRPr="00EA1CA4">
        <w:t xml:space="preserve"> i Veprimit </w:t>
      </w:r>
      <w:r w:rsidR="009B6D69" w:rsidRPr="00EA1CA4">
        <w:t>kundër</w:t>
      </w:r>
      <w:r w:rsidR="0032789F" w:rsidRPr="00EA1CA4">
        <w:t xml:space="preserve"> TB-në për </w:t>
      </w:r>
      <w:r w:rsidR="009B6D69" w:rsidRPr="00EA1CA4">
        <w:t xml:space="preserve">periudhën </w:t>
      </w:r>
      <w:r w:rsidR="0032789F" w:rsidRPr="00EA1CA4">
        <w:t>2022-2024 është zhvilluar bazuar në formatin e miratuar nga Qeveria</w:t>
      </w:r>
      <w:r w:rsidR="009B6D69" w:rsidRPr="00EA1CA4">
        <w:t>,</w:t>
      </w:r>
      <w:r w:rsidRPr="00EA1CA4">
        <w:t xml:space="preserve"> ne perputhje me US nr.07/2018 dhe Manualin per Dokumente Strategjike,</w:t>
      </w:r>
      <w:r w:rsidR="0032789F" w:rsidRPr="00EA1CA4">
        <w:t xml:space="preserve"> dhe përshkruan informacion</w:t>
      </w:r>
      <w:r w:rsidR="009B6D69" w:rsidRPr="00EA1CA4">
        <w:t xml:space="preserve">et e </w:t>
      </w:r>
      <w:r w:rsidRPr="00EA1CA4">
        <w:t xml:space="preserve">fundit </w:t>
      </w:r>
      <w:r w:rsidR="0032789F" w:rsidRPr="00EA1CA4">
        <w:t xml:space="preserve"> për situatën epidemiologjike të TB-së, si dhe strategjitë kombëtare për trajtimin, kujdesin dhe shërbimet mbështetëse të integruar</w:t>
      </w:r>
      <w:r w:rsidR="009B6D69" w:rsidRPr="00EA1CA4">
        <w:t>a</w:t>
      </w:r>
      <w:r w:rsidR="0032789F" w:rsidRPr="00EA1CA4">
        <w:t xml:space="preserve"> të TB-së </w:t>
      </w:r>
      <w:r w:rsidR="009B6D69" w:rsidRPr="00EA1CA4">
        <w:t xml:space="preserve">me </w:t>
      </w:r>
      <w:r w:rsidR="0032789F" w:rsidRPr="00EA1CA4">
        <w:t>në qendër pacienti</w:t>
      </w:r>
      <w:r w:rsidR="009B6D69" w:rsidRPr="00EA1CA4">
        <w:t>n</w:t>
      </w:r>
      <w:r w:rsidR="0032789F" w:rsidRPr="00EA1CA4">
        <w:t xml:space="preserve"> në mbarë vendin. Dokumenti rendit objektivat e përgjithshme dhe specifike</w:t>
      </w:r>
      <w:r w:rsidR="00540EB7" w:rsidRPr="00EA1CA4">
        <w:t>,</w:t>
      </w:r>
      <w:r w:rsidR="0032789F" w:rsidRPr="00EA1CA4">
        <w:t xml:space="preserve"> dhe aktivitetet e planifikuara</w:t>
      </w:r>
      <w:r w:rsidR="009B6D69" w:rsidRPr="00EA1CA4">
        <w:t>, si</w:t>
      </w:r>
      <w:r w:rsidR="0032789F" w:rsidRPr="00EA1CA4">
        <w:t xml:space="preserve"> dhe përshkruan </w:t>
      </w:r>
      <w:r w:rsidR="00540EB7" w:rsidRPr="00EA1CA4">
        <w:t xml:space="preserve">aranzhimet e </w:t>
      </w:r>
      <w:r w:rsidR="0032789F" w:rsidRPr="00EA1CA4">
        <w:t>zbatimi</w:t>
      </w:r>
      <w:r w:rsidR="00540EB7" w:rsidRPr="00EA1CA4">
        <w:t>t</w:t>
      </w:r>
      <w:r w:rsidR="0032789F" w:rsidRPr="00EA1CA4">
        <w:t xml:space="preserve"> dhe monitorimit.</w:t>
      </w:r>
    </w:p>
    <w:p w:rsidR="00B15575" w:rsidRPr="00EA1CA4" w:rsidRDefault="0032789F" w:rsidP="00624E04">
      <w:pPr>
        <w:spacing w:after="60" w:line="276" w:lineRule="auto"/>
        <w:jc w:val="both"/>
      </w:pPr>
      <w:r w:rsidRPr="00EA1CA4">
        <w:t xml:space="preserve">Lista e të gjitha dokumenteve të shqyrtuara dhe konsultuara gjatë përgatitjes së Planit Kombëtar të Veprimit </w:t>
      </w:r>
      <w:r w:rsidR="009B6D69" w:rsidRPr="00EA1CA4">
        <w:t>kundër</w:t>
      </w:r>
      <w:r w:rsidRPr="00EA1CA4">
        <w:t xml:space="preserve"> TB</w:t>
      </w:r>
      <w:r w:rsidR="009B6D69" w:rsidRPr="00EA1CA4">
        <w:t>-së</w:t>
      </w:r>
      <w:r w:rsidRPr="00EA1CA4">
        <w:t xml:space="preserve"> </w:t>
      </w:r>
      <w:r w:rsidR="00540EB7" w:rsidRPr="00EA1CA4">
        <w:t>është</w:t>
      </w:r>
      <w:r w:rsidRPr="00EA1CA4">
        <w:t xml:space="preserve"> dhënë në seksion</w:t>
      </w:r>
      <w:r w:rsidR="00540EB7" w:rsidRPr="00EA1CA4">
        <w:t>in</w:t>
      </w:r>
      <w:r w:rsidR="002A5295" w:rsidRPr="00EA1CA4">
        <w:t xml:space="preserve">: </w:t>
      </w:r>
      <w:r w:rsidR="002A5295" w:rsidRPr="00EA1CA4">
        <w:rPr>
          <w:i/>
        </w:rPr>
        <w:t>Referenc</w:t>
      </w:r>
      <w:r w:rsidRPr="00EA1CA4">
        <w:rPr>
          <w:i/>
        </w:rPr>
        <w:t>at</w:t>
      </w:r>
      <w:r w:rsidR="002A5295" w:rsidRPr="00EA1CA4">
        <w:t xml:space="preserve">. </w:t>
      </w:r>
    </w:p>
    <w:p w:rsidR="00461170" w:rsidRPr="00EA1CA4" w:rsidRDefault="00D344C6" w:rsidP="00624E04">
      <w:pPr>
        <w:spacing w:after="60" w:line="276" w:lineRule="auto"/>
        <w:jc w:val="both"/>
      </w:pPr>
      <w:r w:rsidRPr="00EA1CA4">
        <w:t xml:space="preserve">Objektivat dhe aktivitetet specifike sipas secilit objektiv janë dhënë në formatin e një tabele në </w:t>
      </w:r>
      <w:r w:rsidRPr="00EA1CA4">
        <w:rPr>
          <w:i/>
        </w:rPr>
        <w:t>Shtojcën A</w:t>
      </w:r>
      <w:r w:rsidR="002A5295" w:rsidRPr="00EA1CA4">
        <w:t xml:space="preserve">. </w:t>
      </w:r>
    </w:p>
    <w:p w:rsidR="00461170" w:rsidRPr="00EA1CA4" w:rsidRDefault="00D344C6" w:rsidP="00624E04">
      <w:pPr>
        <w:spacing w:after="60" w:line="276" w:lineRule="auto"/>
        <w:jc w:val="both"/>
      </w:pPr>
      <w:r w:rsidRPr="00EA1CA4">
        <w:t xml:space="preserve">Treguesit bazë dhe objektiv për </w:t>
      </w:r>
      <w:r w:rsidR="009B6D69" w:rsidRPr="00EA1CA4">
        <w:t xml:space="preserve">secilin </w:t>
      </w:r>
      <w:r w:rsidRPr="00EA1CA4">
        <w:t xml:space="preserve">OS janë dhënë për </w:t>
      </w:r>
      <w:r w:rsidR="009B6D69" w:rsidRPr="00EA1CA4">
        <w:t>secilin v</w:t>
      </w:r>
      <w:r w:rsidRPr="00EA1CA4">
        <w:t xml:space="preserve">it </w:t>
      </w:r>
      <w:r w:rsidR="009B6D69" w:rsidRPr="00EA1CA4">
        <w:t>gjat</w:t>
      </w:r>
      <w:r w:rsidRPr="00EA1CA4">
        <w:t>ë</w:t>
      </w:r>
      <w:r w:rsidR="009B6D69" w:rsidRPr="00EA1CA4">
        <w:t xml:space="preserve"> periudhës</w:t>
      </w:r>
      <w:r w:rsidRPr="00EA1CA4">
        <w:t xml:space="preserve"> 2022-2024</w:t>
      </w:r>
      <w:r w:rsidR="002A5295" w:rsidRPr="00EA1CA4">
        <w:t xml:space="preserve">. </w:t>
      </w:r>
    </w:p>
    <w:p w:rsidR="00461170" w:rsidRPr="00EA1CA4" w:rsidRDefault="00D344C6" w:rsidP="00624E04">
      <w:pPr>
        <w:spacing w:after="60" w:line="276" w:lineRule="auto"/>
        <w:jc w:val="both"/>
      </w:pPr>
      <w:r w:rsidRPr="00EA1CA4">
        <w:t>Janë përcaktuar afatet kohore për zbatimin e aktiviteteve të planifikuara</w:t>
      </w:r>
      <w:r w:rsidR="002A5295" w:rsidRPr="00EA1CA4">
        <w:t xml:space="preserve">. </w:t>
      </w:r>
    </w:p>
    <w:p w:rsidR="00461170" w:rsidRPr="00EA1CA4" w:rsidRDefault="00D344C6" w:rsidP="00624E04">
      <w:pPr>
        <w:spacing w:after="60" w:line="276" w:lineRule="auto"/>
        <w:jc w:val="both"/>
      </w:pPr>
      <w:r w:rsidRPr="00EA1CA4">
        <w:t xml:space="preserve">Nevojat </w:t>
      </w:r>
      <w:r w:rsidR="009B6D69" w:rsidRPr="00EA1CA4">
        <w:t xml:space="preserve">e parashikuara buxhetore </w:t>
      </w:r>
      <w:r w:rsidRPr="00EA1CA4">
        <w:t xml:space="preserve">vjetore përcaktohen bazuar në çmimet historike të vendosura në nivel vendi dhe në bazë të konsensusit të arritur përmes procesit të konsultimit në nivel kombëtar </w:t>
      </w:r>
      <w:r w:rsidR="009B6D69" w:rsidRPr="00EA1CA4">
        <w:t xml:space="preserve">midis </w:t>
      </w:r>
      <w:r w:rsidRPr="00EA1CA4">
        <w:t>akt</w:t>
      </w:r>
      <w:r w:rsidR="009B6D69" w:rsidRPr="00EA1CA4">
        <w:t>e</w:t>
      </w:r>
      <w:r w:rsidRPr="00EA1CA4">
        <w:t>rëve të ndryshëm</w:t>
      </w:r>
      <w:r w:rsidR="00BF0E5C" w:rsidRPr="00EA1CA4">
        <w:t xml:space="preserve">. </w:t>
      </w:r>
    </w:p>
    <w:p w:rsidR="00D344C6" w:rsidRPr="00EA1CA4" w:rsidRDefault="00D344C6" w:rsidP="00624E04">
      <w:pPr>
        <w:spacing w:after="60" w:line="276" w:lineRule="auto"/>
        <w:jc w:val="both"/>
      </w:pPr>
      <w:r w:rsidRPr="00EA1CA4">
        <w:t xml:space="preserve">Shtojca A </w:t>
      </w:r>
      <w:r w:rsidR="009B6D69" w:rsidRPr="00EA1CA4">
        <w:t>–</w:t>
      </w:r>
      <w:r w:rsidRPr="00EA1CA4">
        <w:t xml:space="preserve"> </w:t>
      </w:r>
      <w:r w:rsidR="009B6D69" w:rsidRPr="00EA1CA4">
        <w:t xml:space="preserve">ofron </w:t>
      </w:r>
      <w:r w:rsidRPr="00EA1CA4">
        <w:t>gjithashtu informacion</w:t>
      </w:r>
      <w:r w:rsidR="009B6D69" w:rsidRPr="00EA1CA4">
        <w:t>e</w:t>
      </w:r>
      <w:r w:rsidRPr="00EA1CA4">
        <w:t xml:space="preserve"> </w:t>
      </w:r>
      <w:r w:rsidR="009B6D69" w:rsidRPr="00EA1CA4">
        <w:t xml:space="preserve">mbi </w:t>
      </w:r>
      <w:r w:rsidRPr="00EA1CA4">
        <w:t>burimet e financimit; institucionet drejtuese dhe mbështetëse.</w:t>
      </w:r>
    </w:p>
    <w:p w:rsidR="007F553C" w:rsidRPr="00EA1CA4" w:rsidRDefault="00D344C6" w:rsidP="007F553C">
      <w:pPr>
        <w:spacing w:after="60" w:line="276" w:lineRule="auto"/>
        <w:jc w:val="both"/>
      </w:pPr>
      <w:r w:rsidRPr="00EA1CA4">
        <w:t xml:space="preserve">Përshkrimi i detajuar i objektivave specifike dhe aktiviteteve të planifikuara </w:t>
      </w:r>
      <w:r w:rsidR="009B6D69" w:rsidRPr="00EA1CA4">
        <w:t xml:space="preserve">është </w:t>
      </w:r>
      <w:r w:rsidRPr="00EA1CA4">
        <w:t>ofr</w:t>
      </w:r>
      <w:r w:rsidR="009B6D69" w:rsidRPr="00EA1CA4">
        <w:t xml:space="preserve">uar </w:t>
      </w:r>
      <w:r w:rsidRPr="00EA1CA4">
        <w:t>në Shtojcën B</w:t>
      </w:r>
      <w:r w:rsidR="007F553C" w:rsidRPr="00EA1CA4">
        <w:t>.</w:t>
      </w:r>
    </w:p>
    <w:p w:rsidR="00121B64" w:rsidRPr="00EA1CA4" w:rsidRDefault="007F553C" w:rsidP="00DD5916">
      <w:pPr>
        <w:pStyle w:val="Heading1"/>
        <w:rPr>
          <w:rFonts w:ascii="Times New Roman" w:hAnsi="Times New Roman"/>
          <w:szCs w:val="24"/>
        </w:rPr>
      </w:pPr>
      <w:bookmarkStart w:id="8" w:name="_Toc108517251"/>
      <w:r w:rsidRPr="00EA1CA4">
        <w:rPr>
          <w:rFonts w:ascii="Times New Roman" w:hAnsi="Times New Roman"/>
          <w:szCs w:val="24"/>
        </w:rPr>
        <w:t xml:space="preserve">3.  </w:t>
      </w:r>
      <w:r w:rsidR="00121B64" w:rsidRPr="00EA1CA4">
        <w:rPr>
          <w:rFonts w:ascii="Times New Roman" w:hAnsi="Times New Roman"/>
          <w:szCs w:val="24"/>
        </w:rPr>
        <w:t>Met</w:t>
      </w:r>
      <w:r w:rsidR="00D344C6" w:rsidRPr="00EA1CA4">
        <w:rPr>
          <w:rFonts w:ascii="Times New Roman" w:hAnsi="Times New Roman"/>
          <w:szCs w:val="24"/>
        </w:rPr>
        <w:t>odologjia</w:t>
      </w:r>
      <w:bookmarkEnd w:id="8"/>
    </w:p>
    <w:p w:rsidR="007F553C" w:rsidRPr="00EA1CA4" w:rsidRDefault="007F553C" w:rsidP="007F553C">
      <w:pPr>
        <w:spacing w:after="60" w:line="276" w:lineRule="auto"/>
        <w:jc w:val="both"/>
        <w:rPr>
          <w:b/>
          <w:lang w:eastAsia="en-US"/>
        </w:rPr>
      </w:pPr>
    </w:p>
    <w:p w:rsidR="007F553C" w:rsidRPr="00EA1CA4" w:rsidRDefault="007F553C" w:rsidP="00624E04">
      <w:pPr>
        <w:spacing w:line="276" w:lineRule="auto"/>
        <w:jc w:val="both"/>
      </w:pPr>
      <w:r w:rsidRPr="00EA1CA4">
        <w:rPr>
          <w:lang w:eastAsia="en-US"/>
        </w:rPr>
        <w:t>PVTB për Kosovën është harmonizuar me vizionin e Strategjisë së Sektorit të Shëndetësisë dhe parimet e Ligjit për Shëndetësi 2013</w:t>
      </w:r>
      <w:r w:rsidRPr="00EA1CA4">
        <w:rPr>
          <w:rStyle w:val="FootnoteReference"/>
          <w:lang w:eastAsia="en-US"/>
        </w:rPr>
        <w:footnoteReference w:id="10"/>
      </w:r>
      <w:r w:rsidR="00887972" w:rsidRPr="00EA1CA4">
        <w:rPr>
          <w:lang w:eastAsia="en-US"/>
        </w:rPr>
        <w:t>. Rishikim i Planit Kombetar të</w:t>
      </w:r>
      <w:r w:rsidRPr="00EA1CA4">
        <w:rPr>
          <w:lang w:eastAsia="en-US"/>
        </w:rPr>
        <w:t xml:space="preserve"> TB-së</w:t>
      </w:r>
      <w:r w:rsidR="00887972" w:rsidRPr="00EA1CA4">
        <w:rPr>
          <w:lang w:eastAsia="en-US"/>
        </w:rPr>
        <w:t xml:space="preserve"> nga WHO </w:t>
      </w:r>
      <w:r w:rsidRPr="00EA1CA4">
        <w:rPr>
          <w:lang w:eastAsia="en-US"/>
        </w:rPr>
        <w:t>, Rekomandimet e ECDC pikat 93-95</w:t>
      </w:r>
      <w:r w:rsidR="00887972" w:rsidRPr="00EA1CA4">
        <w:rPr>
          <w:lang w:eastAsia="en-US"/>
        </w:rPr>
        <w:t xml:space="preserve"> si dhe Strategjine Globale për TB nga WHO</w:t>
      </w:r>
      <w:r w:rsidRPr="00EA1CA4">
        <w:rPr>
          <w:lang w:eastAsia="en-US"/>
        </w:rPr>
        <w:t xml:space="preserve">. </w:t>
      </w:r>
    </w:p>
    <w:p w:rsidR="00461170" w:rsidRPr="00EA1CA4" w:rsidRDefault="00887972" w:rsidP="00624E04">
      <w:pPr>
        <w:spacing w:line="276" w:lineRule="auto"/>
        <w:jc w:val="both"/>
      </w:pPr>
      <w:r w:rsidRPr="00EA1CA4">
        <w:lastRenderedPageBreak/>
        <w:t>Plani</w:t>
      </w:r>
      <w:r w:rsidR="00D344C6" w:rsidRPr="00EA1CA4">
        <w:t xml:space="preserve"> i Veprimit </w:t>
      </w:r>
      <w:r w:rsidRPr="00EA1CA4">
        <w:t>për</w:t>
      </w:r>
      <w:r w:rsidR="00D344C6" w:rsidRPr="00EA1CA4">
        <w:t xml:space="preserve"> TB për </w:t>
      </w:r>
      <w:r w:rsidR="00B43A2A" w:rsidRPr="00EA1CA4">
        <w:t xml:space="preserve">periudhën </w:t>
      </w:r>
      <w:r w:rsidR="00D344C6" w:rsidRPr="00EA1CA4">
        <w:t>2022-2024 është zhvilluar</w:t>
      </w:r>
      <w:r w:rsidR="002922D0" w:rsidRPr="00EA1CA4">
        <w:t xml:space="preserve"> </w:t>
      </w:r>
      <w:r w:rsidR="00D344C6" w:rsidRPr="00EA1CA4">
        <w:t xml:space="preserve"> </w:t>
      </w:r>
      <w:r w:rsidR="002922D0" w:rsidRPr="00EA1CA4">
        <w:t xml:space="preserve">nga </w:t>
      </w:r>
      <w:r w:rsidRPr="00EA1CA4">
        <w:t>Ministria s</w:t>
      </w:r>
      <w:r w:rsidR="00D344C6" w:rsidRPr="00EA1CA4">
        <w:t xml:space="preserve"> Shëndetësisë së Kosovës dhe </w:t>
      </w:r>
      <w:r w:rsidRPr="00EA1CA4">
        <w:t xml:space="preserve">me </w:t>
      </w:r>
      <w:r w:rsidR="007F553C" w:rsidRPr="00EA1CA4">
        <w:t>pë</w:t>
      </w:r>
      <w:r w:rsidR="002922D0" w:rsidRPr="00EA1CA4">
        <w:t xml:space="preserve">rkrahje </w:t>
      </w:r>
      <w:r w:rsidR="00D344C6" w:rsidRPr="00EA1CA4">
        <w:t xml:space="preserve">të Fondit Global në Kosovë përmes mbështetjes teknike nga Fondacioni Ndërkombëtar Curatio dhe </w:t>
      </w:r>
      <w:r w:rsidR="007A0591" w:rsidRPr="00EA1CA4">
        <w:t>CDF</w:t>
      </w:r>
      <w:r w:rsidR="00D344C6" w:rsidRPr="00EA1CA4">
        <w:t>.</w:t>
      </w:r>
    </w:p>
    <w:p w:rsidR="00DB7AE6" w:rsidRPr="00EA1CA4" w:rsidRDefault="00D344C6" w:rsidP="00624E04">
      <w:pPr>
        <w:spacing w:line="276" w:lineRule="auto"/>
        <w:jc w:val="both"/>
      </w:pPr>
      <w:r w:rsidRPr="00EA1CA4">
        <w:t>Ekspertët ndërkombëtarë kanë p</w:t>
      </w:r>
      <w:r w:rsidR="00013AF1" w:rsidRPr="00EA1CA4">
        <w:t>unuar ngushtë me zyrtarët vendor</w:t>
      </w:r>
      <w:r w:rsidRPr="00EA1CA4">
        <w:t xml:space="preserve"> të shëndetësisë dhe palët e interesuara për TB nga institucionet qeveritare</w:t>
      </w:r>
      <w:r w:rsidR="00B43A2A" w:rsidRPr="00EA1CA4">
        <w:t>,</w:t>
      </w:r>
      <w:r w:rsidRPr="00EA1CA4">
        <w:t xml:space="preserve"> si dhe </w:t>
      </w:r>
      <w:r w:rsidR="00B43A2A" w:rsidRPr="00EA1CA4">
        <w:t xml:space="preserve">me </w:t>
      </w:r>
      <w:r w:rsidRPr="00EA1CA4">
        <w:t xml:space="preserve">organizatat e shoqërisë civile që janë të angazhuara në zbatimin e programit </w:t>
      </w:r>
      <w:r w:rsidR="00B43A2A" w:rsidRPr="00EA1CA4">
        <w:t>t</w:t>
      </w:r>
      <w:r w:rsidRPr="00EA1CA4">
        <w:t>ë TB në Kosovë</w:t>
      </w:r>
      <w:r w:rsidR="00DB7AE6" w:rsidRPr="00EA1CA4">
        <w:t xml:space="preserve">. </w:t>
      </w:r>
    </w:p>
    <w:p w:rsidR="00423CEE" w:rsidRPr="00EA1CA4" w:rsidRDefault="00887972" w:rsidP="00624E04">
      <w:pPr>
        <w:spacing w:line="276" w:lineRule="auto"/>
        <w:jc w:val="both"/>
      </w:pPr>
      <w:r w:rsidRPr="00EA1CA4">
        <w:t>Zhvillimi i P</w:t>
      </w:r>
      <w:r w:rsidR="00D344C6" w:rsidRPr="00EA1CA4">
        <w:t>V</w:t>
      </w:r>
      <w:r w:rsidRPr="00EA1CA4">
        <w:t>TB</w:t>
      </w:r>
      <w:r w:rsidR="00D344C6" w:rsidRPr="00EA1CA4">
        <w:t xml:space="preserve"> përfshin rishikimin e dokumenteve kombëtare, raportet e progresit, raportet e hulumtimit dhe të dhënat zyrtare të ofruara nga Ministria e Shëndetësisë, ose agjenci</w:t>
      </w:r>
      <w:r w:rsidR="00B43A2A" w:rsidRPr="00EA1CA4">
        <w:t>të</w:t>
      </w:r>
      <w:r w:rsidR="00D344C6" w:rsidRPr="00EA1CA4">
        <w:t xml:space="preserve"> </w:t>
      </w:r>
      <w:r w:rsidR="00B43A2A" w:rsidRPr="00EA1CA4">
        <w:t>e</w:t>
      </w:r>
      <w:r w:rsidR="00D344C6" w:rsidRPr="00EA1CA4">
        <w:t xml:space="preserve"> tjera k</w:t>
      </w:r>
      <w:r w:rsidR="00B43A2A" w:rsidRPr="00EA1CA4">
        <w:t xml:space="preserve">ryesore </w:t>
      </w:r>
      <w:r w:rsidR="00D344C6" w:rsidRPr="00EA1CA4">
        <w:t>përgjegjëse që punojnë në regjistrimin dhe raportimin e TB</w:t>
      </w:r>
      <w:r w:rsidR="00B43A2A" w:rsidRPr="00EA1CA4">
        <w:t>-së</w:t>
      </w:r>
      <w:r w:rsidR="00DB7AE6" w:rsidRPr="00EA1CA4">
        <w:t xml:space="preserve">. </w:t>
      </w:r>
    </w:p>
    <w:p w:rsidR="00423CEE" w:rsidRPr="00EA1CA4" w:rsidRDefault="00D344C6" w:rsidP="00624E04">
      <w:pPr>
        <w:spacing w:line="276" w:lineRule="auto"/>
        <w:jc w:val="both"/>
      </w:pPr>
      <w:r w:rsidRPr="00EA1CA4">
        <w:t xml:space="preserve">Për më tepër, udhëzimet dhe dokumentet strategjike të publikuara nga </w:t>
      </w:r>
      <w:r w:rsidR="00B43A2A" w:rsidRPr="00EA1CA4">
        <w:t xml:space="preserve">Partneriteti </w:t>
      </w:r>
      <w:r w:rsidRPr="00EA1CA4">
        <w:t xml:space="preserve">STOP TB dhe OBSH </w:t>
      </w:r>
      <w:r w:rsidR="00B43A2A" w:rsidRPr="00EA1CA4">
        <w:t xml:space="preserve">janë </w:t>
      </w:r>
      <w:r w:rsidRPr="00EA1CA4">
        <w:t>përdor</w:t>
      </w:r>
      <w:r w:rsidR="00B43A2A" w:rsidRPr="00EA1CA4">
        <w:t xml:space="preserve">ur </w:t>
      </w:r>
      <w:r w:rsidRPr="00EA1CA4">
        <w:t>si burim për strategjitë dhe praktikat më të mira globale të bazuara në fakte</w:t>
      </w:r>
      <w:r w:rsidR="00DB7AE6" w:rsidRPr="00EA1CA4">
        <w:t xml:space="preserve">. </w:t>
      </w:r>
    </w:p>
    <w:p w:rsidR="00E95ACC" w:rsidRPr="00EA1CA4" w:rsidRDefault="00D344C6" w:rsidP="00624E04">
      <w:pPr>
        <w:spacing w:line="276" w:lineRule="auto"/>
        <w:jc w:val="both"/>
      </w:pPr>
      <w:r w:rsidRPr="00EA1CA4">
        <w:t xml:space="preserve">Për të siguruar </w:t>
      </w:r>
      <w:r w:rsidR="00B43A2A" w:rsidRPr="00EA1CA4">
        <w:t xml:space="preserve">një </w:t>
      </w:r>
      <w:r w:rsidRPr="00EA1CA4">
        <w:t xml:space="preserve">proces pjesëmarrës, Ministria e Shëndetësisë </w:t>
      </w:r>
      <w:r w:rsidR="00B43A2A" w:rsidRPr="00EA1CA4">
        <w:t xml:space="preserve">ka lëshuar </w:t>
      </w:r>
      <w:r w:rsidRPr="00EA1CA4">
        <w:t>një urdhër</w:t>
      </w:r>
      <w:r w:rsidR="00B43A2A" w:rsidRPr="00EA1CA4">
        <w:t>esë</w:t>
      </w:r>
      <w:r w:rsidRPr="00EA1CA4">
        <w:t xml:space="preserve"> (Nr. 326/X/2021; datë 12/10/2021) dhe </w:t>
      </w:r>
      <w:r w:rsidR="00B43A2A" w:rsidRPr="00EA1CA4">
        <w:t xml:space="preserve">ka </w:t>
      </w:r>
      <w:r w:rsidRPr="00EA1CA4">
        <w:t>krij</w:t>
      </w:r>
      <w:r w:rsidR="00B43A2A" w:rsidRPr="00EA1CA4">
        <w:t xml:space="preserve">uar </w:t>
      </w:r>
      <w:r w:rsidRPr="00EA1CA4">
        <w:t>një Grup Punues Teknik për TB/HIV (G</w:t>
      </w:r>
      <w:r w:rsidR="00DC0860" w:rsidRPr="00EA1CA4">
        <w:t>PT</w:t>
      </w:r>
      <w:r w:rsidRPr="00EA1CA4">
        <w:t>)</w:t>
      </w:r>
      <w:r w:rsidR="00B43A2A" w:rsidRPr="00EA1CA4">
        <w:t>,</w:t>
      </w:r>
      <w:r w:rsidRPr="00EA1CA4">
        <w:t xml:space="preserve"> i përbërë nga 12 persona që përfaqëso</w:t>
      </w:r>
      <w:r w:rsidR="00B43A2A" w:rsidRPr="00EA1CA4">
        <w:t>jnë</w:t>
      </w:r>
      <w:r w:rsidRPr="00EA1CA4">
        <w:t xml:space="preserve"> Ministrinë e Shëndetësisë dhe institucionet e tjera. OJQ-ja lokale – Fondi për Zhvillimin e Komunitetit, e cila është Përfituesi Kryesor i programeve të Fondit Global për HIV</w:t>
      </w:r>
      <w:r w:rsidR="00B43A2A" w:rsidRPr="00EA1CA4">
        <w:t xml:space="preserve"> dhe T</w:t>
      </w:r>
      <w:r w:rsidRPr="00EA1CA4">
        <w:t xml:space="preserve">B në Kosovë, </w:t>
      </w:r>
      <w:r w:rsidR="00B43A2A" w:rsidRPr="00EA1CA4">
        <w:t xml:space="preserve">ka </w:t>
      </w:r>
      <w:r w:rsidRPr="00EA1CA4">
        <w:t>udhëh</w:t>
      </w:r>
      <w:r w:rsidR="00B43A2A" w:rsidRPr="00EA1CA4">
        <w:t xml:space="preserve">equr </w:t>
      </w:r>
      <w:r w:rsidRPr="00EA1CA4">
        <w:t>procesin e konsultimit me organizatat e shoqërisë civile të angazhuara në ofrimin dhe avokimin e shërbimeve për TB</w:t>
      </w:r>
      <w:r w:rsidR="00254429" w:rsidRPr="00EA1CA4">
        <w:t xml:space="preserve">. </w:t>
      </w:r>
    </w:p>
    <w:p w:rsidR="00DB7AE6" w:rsidRPr="00EA1CA4" w:rsidRDefault="00D344C6" w:rsidP="00624E04">
      <w:pPr>
        <w:spacing w:line="276" w:lineRule="auto"/>
        <w:jc w:val="both"/>
      </w:pPr>
      <w:r w:rsidRPr="00EA1CA4">
        <w:t xml:space="preserve">Pas finalizimit të Planit të Veprimit, </w:t>
      </w:r>
      <w:r w:rsidR="00B43A2A" w:rsidRPr="00EA1CA4">
        <w:t xml:space="preserve">janë </w:t>
      </w:r>
      <w:r w:rsidRPr="00EA1CA4">
        <w:t>organizua</w:t>
      </w:r>
      <w:r w:rsidR="00B43A2A" w:rsidRPr="00EA1CA4">
        <w:t>r</w:t>
      </w:r>
      <w:r w:rsidRPr="00EA1CA4">
        <w:t xml:space="preserve"> takime </w:t>
      </w:r>
      <w:r w:rsidR="00B43A2A" w:rsidRPr="00EA1CA4">
        <w:t>të</w:t>
      </w:r>
      <w:r w:rsidR="003D4868" w:rsidRPr="00EA1CA4">
        <w:t xml:space="preserve"> GP</w:t>
      </w:r>
      <w:r w:rsidRPr="00EA1CA4">
        <w:t xml:space="preserve"> për të për</w:t>
      </w:r>
      <w:r w:rsidR="00410623" w:rsidRPr="00EA1CA4">
        <w:t>caktuar</w:t>
      </w:r>
      <w:r w:rsidRPr="00EA1CA4">
        <w:t xml:space="preserve"> inputet për </w:t>
      </w:r>
      <w:r w:rsidR="00B43A2A" w:rsidRPr="00EA1CA4">
        <w:t>secilin</w:t>
      </w:r>
      <w:r w:rsidRPr="00EA1CA4">
        <w:t xml:space="preserve"> aktivitet</w:t>
      </w:r>
      <w:r w:rsidR="00B43A2A" w:rsidRPr="00EA1CA4">
        <w:t>,</w:t>
      </w:r>
      <w:r w:rsidRPr="00EA1CA4">
        <w:t xml:space="preserve"> dhe për të përcaktuar objektivat vjetore. Faza përfundimtare</w:t>
      </w:r>
      <w:r w:rsidR="003D4868" w:rsidRPr="00EA1CA4">
        <w:t xml:space="preserve"> e zhvillimit të Planit</w:t>
      </w:r>
      <w:r w:rsidRPr="00EA1CA4">
        <w:t xml:space="preserve"> të Veprimit </w:t>
      </w:r>
      <w:r w:rsidR="00B43A2A" w:rsidRPr="00EA1CA4">
        <w:t>kundër</w:t>
      </w:r>
      <w:r w:rsidRPr="00EA1CA4">
        <w:t xml:space="preserve"> TB</w:t>
      </w:r>
      <w:r w:rsidR="00B43A2A" w:rsidRPr="00EA1CA4">
        <w:t>-së</w:t>
      </w:r>
      <w:r w:rsidRPr="00EA1CA4">
        <w:t xml:space="preserve"> </w:t>
      </w:r>
      <w:r w:rsidR="00B43A2A" w:rsidRPr="00EA1CA4">
        <w:t xml:space="preserve">ka qenë </w:t>
      </w:r>
      <w:r w:rsidRPr="00EA1CA4">
        <w:t>përcaktimi i implikimeve buxhetore dhe burimeve të financimit për zbatimin e Planit të Veprimit për</w:t>
      </w:r>
      <w:r w:rsidR="00B43A2A" w:rsidRPr="00EA1CA4">
        <w:t xml:space="preserve"> periudhën</w:t>
      </w:r>
      <w:r w:rsidRPr="00EA1CA4">
        <w:t xml:space="preserve"> 2022-2024</w:t>
      </w:r>
      <w:r w:rsidR="00D13061" w:rsidRPr="00EA1CA4">
        <w:t>.</w:t>
      </w:r>
    </w:p>
    <w:p w:rsidR="0016674C" w:rsidRPr="00EA1CA4" w:rsidRDefault="00DD5916" w:rsidP="00DD5916">
      <w:pPr>
        <w:pStyle w:val="Heading1"/>
        <w:rPr>
          <w:rFonts w:ascii="Times New Roman" w:hAnsi="Times New Roman"/>
          <w:szCs w:val="24"/>
        </w:rPr>
      </w:pPr>
      <w:bookmarkStart w:id="9" w:name="_Toc108517252"/>
      <w:bookmarkStart w:id="10" w:name="_Toc492917033"/>
      <w:bookmarkStart w:id="11" w:name="_Toc93005233"/>
      <w:r w:rsidRPr="00EA1CA4">
        <w:rPr>
          <w:rFonts w:ascii="Times New Roman" w:hAnsi="Times New Roman"/>
          <w:szCs w:val="24"/>
        </w:rPr>
        <w:t xml:space="preserve">4. </w:t>
      </w:r>
      <w:r w:rsidR="002922D0" w:rsidRPr="00EA1CA4">
        <w:rPr>
          <w:rFonts w:ascii="Times New Roman" w:hAnsi="Times New Roman"/>
          <w:szCs w:val="24"/>
        </w:rPr>
        <w:t>S</w:t>
      </w:r>
      <w:r w:rsidR="00013AF1" w:rsidRPr="00EA1CA4">
        <w:rPr>
          <w:rFonts w:ascii="Times New Roman" w:hAnsi="Times New Roman"/>
          <w:szCs w:val="24"/>
        </w:rPr>
        <w:t>fondi</w:t>
      </w:r>
      <w:bookmarkEnd w:id="9"/>
    </w:p>
    <w:p w:rsidR="00BC7956" w:rsidRPr="00EA1CA4" w:rsidRDefault="00BC7956" w:rsidP="00BC7956"/>
    <w:bookmarkEnd w:id="10"/>
    <w:bookmarkEnd w:id="11"/>
    <w:p w:rsidR="00254429" w:rsidRPr="00EA1CA4" w:rsidRDefault="00D344C6" w:rsidP="00624E04">
      <w:pPr>
        <w:spacing w:line="276" w:lineRule="auto"/>
        <w:jc w:val="both"/>
      </w:pPr>
      <w:r w:rsidRPr="00EA1CA4">
        <w:t xml:space="preserve">Tuberkulozi </w:t>
      </w:r>
      <w:r w:rsidR="00B43A2A" w:rsidRPr="00EA1CA4">
        <w:t xml:space="preserve">është </w:t>
      </w:r>
      <w:r w:rsidRPr="00EA1CA4">
        <w:t>rishfaq</w:t>
      </w:r>
      <w:r w:rsidR="00B43A2A" w:rsidRPr="00EA1CA4">
        <w:t xml:space="preserve">ur </w:t>
      </w:r>
      <w:r w:rsidRPr="00EA1CA4">
        <w:t xml:space="preserve">si problem i shëndetit publik në Kosovë pas vitit 1999. Shkalla e njoftimit për TB </w:t>
      </w:r>
      <w:r w:rsidR="00B43A2A" w:rsidRPr="00EA1CA4">
        <w:t xml:space="preserve">ka </w:t>
      </w:r>
      <w:r w:rsidRPr="00EA1CA4">
        <w:t>fill</w:t>
      </w:r>
      <w:r w:rsidR="00B43A2A" w:rsidRPr="00EA1CA4">
        <w:t xml:space="preserve">uar </w:t>
      </w:r>
      <w:r w:rsidRPr="00EA1CA4">
        <w:t>të ulet nga 78</w:t>
      </w:r>
      <w:r w:rsidR="00B43A2A" w:rsidRPr="00EA1CA4">
        <w:t>/</w:t>
      </w:r>
      <w:r w:rsidRPr="00EA1CA4">
        <w:t xml:space="preserve">100,000 </w:t>
      </w:r>
      <w:r w:rsidR="00B43A2A" w:rsidRPr="00EA1CA4">
        <w:t xml:space="preserve">të popullsisë sa ishte </w:t>
      </w:r>
      <w:r w:rsidRPr="00EA1CA4">
        <w:t>në vitin 2001</w:t>
      </w:r>
      <w:r w:rsidR="00B43A2A" w:rsidRPr="00EA1CA4">
        <w:t>,</w:t>
      </w:r>
      <w:r w:rsidRPr="00EA1CA4">
        <w:t xml:space="preserve"> në 34,4</w:t>
      </w:r>
      <w:r w:rsidR="00B43A2A" w:rsidRPr="00EA1CA4">
        <w:t>/</w:t>
      </w:r>
      <w:r w:rsidRPr="00EA1CA4">
        <w:t xml:space="preserve">100,000 </w:t>
      </w:r>
      <w:r w:rsidR="00B43A2A" w:rsidRPr="00EA1CA4">
        <w:t xml:space="preserve">të popullsisë </w:t>
      </w:r>
      <w:r w:rsidRPr="00EA1CA4">
        <w:t xml:space="preserve">në </w:t>
      </w:r>
      <w:r w:rsidR="00B43A2A" w:rsidRPr="00EA1CA4">
        <w:t xml:space="preserve">vitin </w:t>
      </w:r>
      <w:r w:rsidRPr="00EA1CA4">
        <w:t xml:space="preserve">2019. </w:t>
      </w:r>
      <w:r w:rsidR="00B43A2A" w:rsidRPr="00EA1CA4">
        <w:t>Në g</w:t>
      </w:r>
      <w:r w:rsidRPr="00EA1CA4">
        <w:t>rafiku</w:t>
      </w:r>
      <w:r w:rsidR="00B43A2A" w:rsidRPr="00EA1CA4">
        <w:t>n</w:t>
      </w:r>
      <w:r w:rsidRPr="00EA1CA4">
        <w:t xml:space="preserve"> </w:t>
      </w:r>
      <w:r w:rsidR="00B43A2A" w:rsidRPr="00EA1CA4">
        <w:t xml:space="preserve">e </w:t>
      </w:r>
      <w:r w:rsidRPr="00EA1CA4">
        <w:t>mëposhtë</w:t>
      </w:r>
      <w:r w:rsidR="00B43A2A" w:rsidRPr="00EA1CA4">
        <w:t>m</w:t>
      </w:r>
      <w:r w:rsidRPr="00EA1CA4">
        <w:t xml:space="preserve"> </w:t>
      </w:r>
      <w:r w:rsidR="00FB6EE6" w:rsidRPr="00EA1CA4">
        <w:t xml:space="preserve">është paraqitur </w:t>
      </w:r>
      <w:r w:rsidRPr="00EA1CA4">
        <w:t xml:space="preserve">trendi në shkallën e njoftimit për TB </w:t>
      </w:r>
      <w:r w:rsidR="00FB6EE6" w:rsidRPr="00EA1CA4">
        <w:t xml:space="preserve">për </w:t>
      </w:r>
      <w:r w:rsidRPr="00EA1CA4">
        <w:t>100,000</w:t>
      </w:r>
      <w:r w:rsidR="00FB6EE6" w:rsidRPr="00EA1CA4">
        <w:t xml:space="preserve"> banorë,</w:t>
      </w:r>
      <w:r w:rsidRPr="00EA1CA4">
        <w:t xml:space="preserve"> </w:t>
      </w:r>
      <w:r w:rsidR="00FB6EE6" w:rsidRPr="00EA1CA4">
        <w:t>nga viti 2001 deri ne vitin 2020</w:t>
      </w:r>
      <w:r w:rsidR="00254429" w:rsidRPr="00EA1CA4">
        <w:rPr>
          <w:color w:val="000000"/>
        </w:rPr>
        <w:t>.</w:t>
      </w:r>
    </w:p>
    <w:p w:rsidR="00FB6EE6" w:rsidRPr="00EA1CA4" w:rsidRDefault="00FB6EE6" w:rsidP="00624E04">
      <w:pPr>
        <w:pStyle w:val="Caption"/>
        <w:keepNext/>
        <w:spacing w:line="276" w:lineRule="auto"/>
        <w:jc w:val="both"/>
      </w:pPr>
      <w:bookmarkStart w:id="12" w:name="_Toc93005265"/>
    </w:p>
    <w:p w:rsidR="00254429" w:rsidRPr="00EA1CA4" w:rsidRDefault="00D344C6" w:rsidP="00624E04">
      <w:pPr>
        <w:pStyle w:val="Caption"/>
        <w:keepNext/>
        <w:spacing w:line="276" w:lineRule="auto"/>
        <w:jc w:val="both"/>
      </w:pPr>
      <w:r w:rsidRPr="00EA1CA4">
        <w:t>Figura 1</w:t>
      </w:r>
      <w:r w:rsidR="00FB6EE6" w:rsidRPr="00EA1CA4">
        <w:t>:</w:t>
      </w:r>
      <w:r w:rsidRPr="00EA1CA4">
        <w:t xml:space="preserve"> Shkalla e njoftimit të TB nga viti 2001 deri në vitin 2020</w:t>
      </w:r>
      <w:r w:rsidR="00D75ED6">
        <w:fldChar w:fldCharType="begin"/>
      </w:r>
      <w:r w:rsidR="00D75ED6">
        <w:instrText xml:space="preserve"> NOTEREF _Ref82439528 \f \h  \* MERGEFORMAT </w:instrText>
      </w:r>
      <w:r w:rsidR="00D75ED6">
        <w:fldChar w:fldCharType="separate"/>
      </w:r>
      <w:r w:rsidR="00DD5916" w:rsidRPr="00EA1CA4">
        <w:t>11</w:t>
      </w:r>
      <w:bookmarkEnd w:id="12"/>
      <w:r w:rsidR="00D75ED6">
        <w:fldChar w:fldCharType="end"/>
      </w:r>
    </w:p>
    <w:p w:rsidR="00254429" w:rsidRPr="00EA1CA4" w:rsidRDefault="00FC2090" w:rsidP="00624E04">
      <w:pPr>
        <w:spacing w:line="276" w:lineRule="auto"/>
        <w:jc w:val="both"/>
      </w:pPr>
      <w:r w:rsidRPr="00EA1CA4">
        <w:rPr>
          <w:noProof/>
          <w:lang w:val="en-US" w:eastAsia="en-US"/>
        </w:rPr>
        <w:drawing>
          <wp:inline distT="0" distB="0" distL="0" distR="0">
            <wp:extent cx="6167120" cy="3019425"/>
            <wp:effectExtent l="0" t="0" r="24130" b="9525"/>
            <wp:docPr id="1"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163E" w:rsidRPr="00EA1CA4" w:rsidRDefault="0019163E" w:rsidP="00624E04">
      <w:pPr>
        <w:spacing w:line="276" w:lineRule="auto"/>
        <w:jc w:val="both"/>
        <w:rPr>
          <w:color w:val="000000"/>
        </w:rPr>
      </w:pPr>
    </w:p>
    <w:p w:rsidR="00254429" w:rsidRPr="00EA1CA4" w:rsidRDefault="00D344C6" w:rsidP="00624E04">
      <w:pPr>
        <w:spacing w:line="276" w:lineRule="auto"/>
        <w:jc w:val="both"/>
      </w:pPr>
      <w:r w:rsidRPr="00EA1CA4">
        <w:rPr>
          <w:color w:val="000000"/>
        </w:rPr>
        <w:t xml:space="preserve">Gjatë viteve të fundit, numri i rasteve të njoftuara me TB </w:t>
      </w:r>
      <w:r w:rsidR="00013AF1" w:rsidRPr="00EA1CA4">
        <w:rPr>
          <w:color w:val="000000"/>
        </w:rPr>
        <w:t xml:space="preserve">ka rënë </w:t>
      </w:r>
      <w:r w:rsidRPr="00EA1CA4">
        <w:rPr>
          <w:color w:val="000000"/>
        </w:rPr>
        <w:t>ndjeshëm</w:t>
      </w:r>
      <w:r w:rsidR="0079717D" w:rsidRPr="00EA1CA4">
        <w:rPr>
          <w:color w:val="000000"/>
        </w:rPr>
        <w:t>,</w:t>
      </w:r>
      <w:r w:rsidRPr="00EA1CA4">
        <w:rPr>
          <w:color w:val="000000"/>
        </w:rPr>
        <w:t xml:space="preserve"> nga 611 </w:t>
      </w:r>
      <w:r w:rsidR="0079717D" w:rsidRPr="00EA1CA4">
        <w:rPr>
          <w:color w:val="000000"/>
        </w:rPr>
        <w:t>sosh sa kanë qen</w:t>
      </w:r>
      <w:r w:rsidRPr="00EA1CA4">
        <w:rPr>
          <w:color w:val="000000"/>
        </w:rPr>
        <w:t xml:space="preserve">ë </w:t>
      </w:r>
      <w:r w:rsidR="0079717D" w:rsidRPr="00EA1CA4">
        <w:rPr>
          <w:color w:val="000000"/>
        </w:rPr>
        <w:t xml:space="preserve">në vitin </w:t>
      </w:r>
      <w:r w:rsidRPr="00EA1CA4">
        <w:rPr>
          <w:color w:val="000000"/>
        </w:rPr>
        <w:t>2019</w:t>
      </w:r>
      <w:r w:rsidR="0079717D" w:rsidRPr="00EA1CA4">
        <w:rPr>
          <w:color w:val="000000"/>
        </w:rPr>
        <w:t>,</w:t>
      </w:r>
      <w:r w:rsidRPr="00EA1CA4">
        <w:rPr>
          <w:color w:val="000000"/>
        </w:rPr>
        <w:t xml:space="preserve"> në 441 raste në vitin 2020. Megjithatë, </w:t>
      </w:r>
      <w:r w:rsidR="0079717D" w:rsidRPr="00EA1CA4">
        <w:rPr>
          <w:color w:val="000000"/>
        </w:rPr>
        <w:t xml:space="preserve">me shumë gjasa </w:t>
      </w:r>
      <w:r w:rsidRPr="00EA1CA4">
        <w:rPr>
          <w:color w:val="000000"/>
        </w:rPr>
        <w:t xml:space="preserve">të dhënat e vitit 2020 nuk pasqyrojnë </w:t>
      </w:r>
      <w:r w:rsidR="0079717D" w:rsidRPr="00EA1CA4">
        <w:rPr>
          <w:color w:val="000000"/>
        </w:rPr>
        <w:t xml:space="preserve">uljen reale </w:t>
      </w:r>
      <w:r w:rsidRPr="00EA1CA4">
        <w:rPr>
          <w:color w:val="000000"/>
        </w:rPr>
        <w:t xml:space="preserve">të sëmundshmërisë </w:t>
      </w:r>
      <w:r w:rsidR="0079717D" w:rsidRPr="00EA1CA4">
        <w:rPr>
          <w:color w:val="000000"/>
        </w:rPr>
        <w:t xml:space="preserve">nga </w:t>
      </w:r>
      <w:r w:rsidRPr="00EA1CA4">
        <w:rPr>
          <w:color w:val="000000"/>
        </w:rPr>
        <w:t>TB-</w:t>
      </w:r>
      <w:r w:rsidR="0079717D" w:rsidRPr="00EA1CA4">
        <w:rPr>
          <w:color w:val="000000"/>
        </w:rPr>
        <w:t>ja,</w:t>
      </w:r>
      <w:r w:rsidRPr="00EA1CA4">
        <w:rPr>
          <w:color w:val="000000"/>
        </w:rPr>
        <w:t xml:space="preserve"> dhe është më tepër </w:t>
      </w:r>
      <w:r w:rsidR="0079717D" w:rsidRPr="00EA1CA4">
        <w:rPr>
          <w:color w:val="000000"/>
        </w:rPr>
        <w:t xml:space="preserve">si </w:t>
      </w:r>
      <w:r w:rsidRPr="00EA1CA4">
        <w:rPr>
          <w:color w:val="000000"/>
        </w:rPr>
        <w:t xml:space="preserve">rezultat i </w:t>
      </w:r>
      <w:r w:rsidR="00013AF1" w:rsidRPr="00EA1CA4">
        <w:rPr>
          <w:color w:val="000000"/>
        </w:rPr>
        <w:t xml:space="preserve">ndryshimeve pandemike dhe demografike të </w:t>
      </w:r>
      <w:r w:rsidRPr="00EA1CA4">
        <w:rPr>
          <w:color w:val="000000"/>
        </w:rPr>
        <w:t xml:space="preserve">COVID-19. Në përgjithësi, rënia </w:t>
      </w:r>
      <w:r w:rsidR="0079717D" w:rsidRPr="00EA1CA4">
        <w:rPr>
          <w:color w:val="000000"/>
        </w:rPr>
        <w:t xml:space="preserve">në numrin e </w:t>
      </w:r>
      <w:r w:rsidRPr="00EA1CA4">
        <w:rPr>
          <w:color w:val="000000"/>
        </w:rPr>
        <w:t>njoftim</w:t>
      </w:r>
      <w:r w:rsidR="0079717D" w:rsidRPr="00EA1CA4">
        <w:rPr>
          <w:color w:val="000000"/>
        </w:rPr>
        <w:t xml:space="preserve">eve </w:t>
      </w:r>
      <w:r w:rsidRPr="00EA1CA4">
        <w:rPr>
          <w:color w:val="000000"/>
        </w:rPr>
        <w:t xml:space="preserve">të TB-së gjatë viteve të fundit duhet interpretuar me kujdes: palët e interesuara besojnë se ka faktorë të tjerë që ndikojnë në </w:t>
      </w:r>
      <w:r w:rsidR="0079717D" w:rsidRPr="00EA1CA4">
        <w:rPr>
          <w:color w:val="000000"/>
        </w:rPr>
        <w:t>uljen</w:t>
      </w:r>
      <w:r w:rsidRPr="00EA1CA4">
        <w:rPr>
          <w:color w:val="000000"/>
        </w:rPr>
        <w:t xml:space="preserve">: </w:t>
      </w:r>
      <w:r w:rsidR="0079717D" w:rsidRPr="00EA1CA4">
        <w:rPr>
          <w:color w:val="000000"/>
        </w:rPr>
        <w:t xml:space="preserve">ulja e numrit global të </w:t>
      </w:r>
      <w:r w:rsidRPr="00EA1CA4">
        <w:rPr>
          <w:color w:val="000000"/>
        </w:rPr>
        <w:t>njoftim</w:t>
      </w:r>
      <w:r w:rsidR="0079717D" w:rsidRPr="00EA1CA4">
        <w:rPr>
          <w:color w:val="000000"/>
        </w:rPr>
        <w:t xml:space="preserve">eve </w:t>
      </w:r>
      <w:r w:rsidRPr="00EA1CA4">
        <w:rPr>
          <w:color w:val="000000"/>
        </w:rPr>
        <w:t xml:space="preserve">të TB-së si faktor i jashtëm; përmirësimi i mirëqenies sociale dhe ekonomike të popullatës në Kosovë, përmirësimi i zbatimit të Programit </w:t>
      </w:r>
      <w:r w:rsidR="0079717D" w:rsidRPr="00EA1CA4">
        <w:rPr>
          <w:color w:val="000000"/>
        </w:rPr>
        <w:t xml:space="preserve">kundër </w:t>
      </w:r>
      <w:r w:rsidRPr="00EA1CA4">
        <w:rPr>
          <w:color w:val="000000"/>
        </w:rPr>
        <w:t>TB</w:t>
      </w:r>
      <w:r w:rsidR="0079717D" w:rsidRPr="00EA1CA4">
        <w:rPr>
          <w:color w:val="000000"/>
        </w:rPr>
        <w:t>-së</w:t>
      </w:r>
      <w:r w:rsidRPr="00EA1CA4">
        <w:rPr>
          <w:color w:val="000000"/>
        </w:rPr>
        <w:t xml:space="preserve"> për shkak të rritjes së investimeve në infrastrukturën diagnostike dhe mjekuese</w:t>
      </w:r>
      <w:r w:rsidR="0079717D" w:rsidRPr="00EA1CA4">
        <w:rPr>
          <w:color w:val="000000"/>
        </w:rPr>
        <w:t>,</w:t>
      </w:r>
      <w:r w:rsidRPr="00EA1CA4">
        <w:rPr>
          <w:color w:val="000000"/>
        </w:rPr>
        <w:t xml:space="preserve"> si dhe migrimi i popullsisë – si faktorë të brendshëm</w:t>
      </w:r>
      <w:bookmarkStart w:id="13" w:name="_Ref82439528"/>
      <w:r w:rsidR="00254429" w:rsidRPr="00EA1CA4">
        <w:rPr>
          <w:rStyle w:val="FootnoteReference"/>
        </w:rPr>
        <w:footnoteReference w:id="11"/>
      </w:r>
      <w:bookmarkEnd w:id="13"/>
      <w:r w:rsidR="00254429" w:rsidRPr="00EA1CA4">
        <w:t xml:space="preserve">. </w:t>
      </w:r>
    </w:p>
    <w:p w:rsidR="00BA7283" w:rsidRPr="00EA1CA4" w:rsidRDefault="00D344C6" w:rsidP="00BA7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EA1CA4">
        <w:rPr>
          <w:color w:val="000000"/>
        </w:rPr>
        <w:t>Në vitin 2019, nga 611 raste të njoftuar</w:t>
      </w:r>
      <w:r w:rsidR="0079717D" w:rsidRPr="00EA1CA4">
        <w:rPr>
          <w:color w:val="000000"/>
        </w:rPr>
        <w:t>a të TB-së</w:t>
      </w:r>
      <w:r w:rsidRPr="00EA1CA4">
        <w:rPr>
          <w:color w:val="000000"/>
        </w:rPr>
        <w:t xml:space="preserve"> </w:t>
      </w:r>
      <w:r w:rsidR="0079717D" w:rsidRPr="00EA1CA4">
        <w:rPr>
          <w:color w:val="000000"/>
        </w:rPr>
        <w:t xml:space="preserve">kanë qenë </w:t>
      </w:r>
      <w:r w:rsidRPr="00EA1CA4">
        <w:rPr>
          <w:color w:val="000000"/>
        </w:rPr>
        <w:t>89% raste të reja dhe 9% ri</w:t>
      </w:r>
      <w:r w:rsidR="0079717D" w:rsidRPr="00EA1CA4">
        <w:rPr>
          <w:color w:val="000000"/>
        </w:rPr>
        <w:t>-paraqitje,</w:t>
      </w:r>
      <w:r w:rsidRPr="00EA1CA4">
        <w:rPr>
          <w:color w:val="000000"/>
        </w:rPr>
        <w:t xml:space="preserve"> </w:t>
      </w:r>
      <w:r w:rsidR="0079717D" w:rsidRPr="00EA1CA4">
        <w:rPr>
          <w:color w:val="000000"/>
        </w:rPr>
        <w:t xml:space="preserve">ndërsa </w:t>
      </w:r>
      <w:r w:rsidRPr="00EA1CA4">
        <w:rPr>
          <w:color w:val="000000"/>
        </w:rPr>
        <w:t xml:space="preserve">2% </w:t>
      </w:r>
      <w:r w:rsidR="0079717D" w:rsidRPr="00EA1CA4">
        <w:rPr>
          <w:color w:val="000000"/>
        </w:rPr>
        <w:t xml:space="preserve">kanë qenë </w:t>
      </w:r>
      <w:r w:rsidRPr="00EA1CA4">
        <w:rPr>
          <w:color w:val="000000"/>
        </w:rPr>
        <w:t xml:space="preserve">raste </w:t>
      </w:r>
      <w:r w:rsidR="0079717D" w:rsidRPr="00EA1CA4">
        <w:rPr>
          <w:color w:val="000000"/>
        </w:rPr>
        <w:t xml:space="preserve">të </w:t>
      </w:r>
      <w:r w:rsidRPr="00EA1CA4">
        <w:rPr>
          <w:color w:val="000000"/>
        </w:rPr>
        <w:t>ri</w:t>
      </w:r>
      <w:r w:rsidR="007A596D" w:rsidRPr="00EA1CA4">
        <w:rPr>
          <w:color w:val="000000"/>
        </w:rPr>
        <w:t>-</w:t>
      </w:r>
      <w:r w:rsidRPr="00EA1CA4">
        <w:rPr>
          <w:color w:val="000000"/>
        </w:rPr>
        <w:t>trajt</w:t>
      </w:r>
      <w:r w:rsidR="0079717D" w:rsidRPr="00EA1CA4">
        <w:rPr>
          <w:color w:val="000000"/>
        </w:rPr>
        <w:t>uara</w:t>
      </w:r>
      <w:r w:rsidRPr="00EA1CA4">
        <w:rPr>
          <w:color w:val="000000"/>
        </w:rPr>
        <w:t xml:space="preserve">. Bazuar në lokalizimin, ka pasur 442 (73%) raste </w:t>
      </w:r>
      <w:r w:rsidR="0079717D" w:rsidRPr="00EA1CA4">
        <w:rPr>
          <w:color w:val="000000"/>
        </w:rPr>
        <w:t xml:space="preserve">të </w:t>
      </w:r>
      <w:r w:rsidRPr="00EA1CA4">
        <w:rPr>
          <w:color w:val="000000"/>
        </w:rPr>
        <w:t>TB</w:t>
      </w:r>
      <w:r w:rsidR="0079717D" w:rsidRPr="00EA1CA4">
        <w:rPr>
          <w:color w:val="000000"/>
        </w:rPr>
        <w:t>-së</w:t>
      </w:r>
      <w:r w:rsidRPr="00EA1CA4">
        <w:rPr>
          <w:color w:val="000000"/>
        </w:rPr>
        <w:t xml:space="preserve"> pulmonare (55% shkalla e konfirmimit) kundrejt 169 (27%) raste </w:t>
      </w:r>
      <w:r w:rsidR="0079717D" w:rsidRPr="00EA1CA4">
        <w:rPr>
          <w:color w:val="000000"/>
        </w:rPr>
        <w:t xml:space="preserve">të </w:t>
      </w:r>
      <w:r w:rsidRPr="00EA1CA4">
        <w:rPr>
          <w:color w:val="000000"/>
        </w:rPr>
        <w:t>TB</w:t>
      </w:r>
      <w:r w:rsidR="0079717D" w:rsidRPr="00EA1CA4">
        <w:rPr>
          <w:color w:val="000000"/>
        </w:rPr>
        <w:t>-së</w:t>
      </w:r>
      <w:r w:rsidRPr="00EA1CA4">
        <w:rPr>
          <w:color w:val="000000"/>
        </w:rPr>
        <w:t xml:space="preserve"> ekstra</w:t>
      </w:r>
      <w:r w:rsidR="007A596D" w:rsidRPr="00EA1CA4">
        <w:rPr>
          <w:color w:val="000000"/>
        </w:rPr>
        <w:t>-</w:t>
      </w:r>
      <w:r w:rsidRPr="00EA1CA4">
        <w:rPr>
          <w:color w:val="000000"/>
        </w:rPr>
        <w:t>pulmonare. Raporti mashkull-femër është 1.24. Në shifra absolute, numri më i ulët i rasteve të TB</w:t>
      </w:r>
      <w:r w:rsidR="0079717D" w:rsidRPr="00EA1CA4">
        <w:rPr>
          <w:color w:val="000000"/>
        </w:rPr>
        <w:t>-së</w:t>
      </w:r>
      <w:r w:rsidRPr="00EA1CA4">
        <w:rPr>
          <w:color w:val="000000"/>
        </w:rPr>
        <w:t xml:space="preserve"> është vërejtur tek fëmijët e moshës 0-4 vjeç. </w:t>
      </w:r>
      <w:r w:rsidR="0079717D" w:rsidRPr="00EA1CA4">
        <w:rPr>
          <w:color w:val="000000"/>
        </w:rPr>
        <w:t>V</w:t>
      </w:r>
      <w:r w:rsidRPr="00EA1CA4">
        <w:rPr>
          <w:color w:val="000000"/>
        </w:rPr>
        <w:t xml:space="preserve">etëm 5 raste të tilla </w:t>
      </w:r>
      <w:r w:rsidR="0079717D" w:rsidRPr="00EA1CA4">
        <w:rPr>
          <w:color w:val="000000"/>
        </w:rPr>
        <w:t xml:space="preserve">kanë qenë, </w:t>
      </w:r>
      <w:r w:rsidRPr="00EA1CA4">
        <w:rPr>
          <w:color w:val="000000"/>
        </w:rPr>
        <w:t>edhe pse kjo mund të pasqyro</w:t>
      </w:r>
      <w:r w:rsidR="0079717D" w:rsidRPr="00EA1CA4">
        <w:rPr>
          <w:color w:val="000000"/>
        </w:rPr>
        <w:t>jë</w:t>
      </w:r>
      <w:r w:rsidRPr="00EA1CA4">
        <w:rPr>
          <w:color w:val="000000"/>
        </w:rPr>
        <w:t xml:space="preserve"> kapacitetin e kufizuar diagnostikues të TBC-së në fëmijëri për shkak të mungesës së priorit</w:t>
      </w:r>
      <w:r w:rsidR="0079717D" w:rsidRPr="00EA1CA4">
        <w:rPr>
          <w:color w:val="000000"/>
        </w:rPr>
        <w:t>izimit</w:t>
      </w:r>
      <w:r w:rsidR="00D75ED6">
        <w:fldChar w:fldCharType="begin"/>
      </w:r>
      <w:r w:rsidR="00D75ED6">
        <w:instrText xml:space="preserve"> NOTEREF _Ref82439528 \f \h  \* MERGEFO</w:instrText>
      </w:r>
      <w:r w:rsidR="00D75ED6">
        <w:instrText xml:space="preserve">RMAT </w:instrText>
      </w:r>
      <w:r w:rsidR="00D75ED6">
        <w:fldChar w:fldCharType="separate"/>
      </w:r>
      <w:r w:rsidR="00DD5916" w:rsidRPr="00EA1CA4">
        <w:t>11</w:t>
      </w:r>
      <w:r w:rsidR="00D75ED6">
        <w:fldChar w:fldCharType="end"/>
      </w:r>
      <w:r w:rsidR="00254429" w:rsidRPr="00EA1CA4">
        <w:t xml:space="preserve">. </w:t>
      </w:r>
      <w:r w:rsidRPr="00EA1CA4">
        <w:t xml:space="preserve">Shumica dërrmuese e rasteve të TB-së (266) </w:t>
      </w:r>
      <w:r w:rsidR="0079717D" w:rsidRPr="00EA1CA4">
        <w:t xml:space="preserve">hasen </w:t>
      </w:r>
      <w:r w:rsidRPr="00EA1CA4">
        <w:t>te</w:t>
      </w:r>
      <w:r w:rsidR="0079717D" w:rsidRPr="00EA1CA4">
        <w:t>k</w:t>
      </w:r>
      <w:r w:rsidRPr="00EA1CA4">
        <w:t xml:space="preserve"> njerëzit e moshës riprodhuese (15-45</w:t>
      </w:r>
      <w:r w:rsidR="0079717D" w:rsidRPr="00EA1CA4">
        <w:t xml:space="preserve"> vjeç</w:t>
      </w:r>
      <w:r w:rsidRPr="00EA1CA4">
        <w:t xml:space="preserve">), por duket se ka një </w:t>
      </w:r>
      <w:r w:rsidRPr="00EA1CA4">
        <w:lastRenderedPageBreak/>
        <w:t xml:space="preserve">tendencë të rritjes së rasteve </w:t>
      </w:r>
      <w:r w:rsidR="0079717D" w:rsidRPr="00EA1CA4">
        <w:t xml:space="preserve">edhe </w:t>
      </w:r>
      <w:r w:rsidRPr="00EA1CA4">
        <w:t>tek të moshuarit</w:t>
      </w:r>
      <w:r w:rsidR="0079717D" w:rsidRPr="00EA1CA4">
        <w:t>,</w:t>
      </w:r>
      <w:r w:rsidRPr="00EA1CA4">
        <w:t xml:space="preserve"> me 146 raste të TB-së të </w:t>
      </w:r>
      <w:r w:rsidR="0079717D" w:rsidRPr="00EA1CA4">
        <w:t xml:space="preserve">hasura </w:t>
      </w:r>
      <w:r w:rsidRPr="00EA1CA4">
        <w:t>tek njerëzit mbi</w:t>
      </w:r>
      <w:r w:rsidR="0079717D" w:rsidRPr="00EA1CA4">
        <w:t xml:space="preserve"> moshën</w:t>
      </w:r>
      <w:r w:rsidRPr="00EA1CA4">
        <w:t xml:space="preserve"> 65 vjeç</w:t>
      </w:r>
      <w:r w:rsidR="00254429" w:rsidRPr="00EA1CA4">
        <w:rPr>
          <w:color w:val="000000"/>
        </w:rPr>
        <w:t>.</w:t>
      </w:r>
    </w:p>
    <w:p w:rsidR="00BA7283" w:rsidRPr="00EA1CA4" w:rsidRDefault="00BA7283" w:rsidP="00BA7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vertAlign w:val="superscript"/>
        </w:rPr>
      </w:pPr>
      <w:r w:rsidRPr="00EA1CA4">
        <w:rPr>
          <w:vertAlign w:val="superscript"/>
        </w:rPr>
        <w:t xml:space="preserve"> </w:t>
      </w:r>
    </w:p>
    <w:p w:rsidR="00254429" w:rsidRPr="00EA1CA4" w:rsidRDefault="00D344C6" w:rsidP="00BA7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A1CA4">
        <w:t>Figura 2</w:t>
      </w:r>
      <w:r w:rsidR="00BC7956" w:rsidRPr="00EA1CA4">
        <w:t>:</w:t>
      </w:r>
      <w:r w:rsidRPr="00EA1CA4">
        <w:t xml:space="preserve"> Njoftimi i TB sipas grup</w:t>
      </w:r>
      <w:r w:rsidR="007A596D" w:rsidRPr="00EA1CA4">
        <w:t xml:space="preserve"> </w:t>
      </w:r>
      <w:r w:rsidRPr="00EA1CA4">
        <w:t>moshave – 2019</w:t>
      </w:r>
    </w:p>
    <w:p w:rsidR="00254429" w:rsidRPr="00EA1CA4" w:rsidRDefault="00FC2090" w:rsidP="00624E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EA1CA4">
        <w:rPr>
          <w:noProof/>
          <w:lang w:val="en-US" w:eastAsia="en-US"/>
        </w:rPr>
        <w:drawing>
          <wp:inline distT="0" distB="0" distL="0" distR="0">
            <wp:extent cx="4561205" cy="2594610"/>
            <wp:effectExtent l="0" t="0" r="10795" b="1524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5EE0" w:rsidRPr="00EA1CA4" w:rsidRDefault="00B85EE0" w:rsidP="00624E04">
      <w:pPr>
        <w:spacing w:line="276" w:lineRule="auto"/>
        <w:jc w:val="both"/>
        <w:rPr>
          <w:b/>
        </w:rPr>
      </w:pPr>
    </w:p>
    <w:p w:rsidR="00254429" w:rsidRPr="00EA1CA4" w:rsidRDefault="00D344C6" w:rsidP="00624E04">
      <w:pPr>
        <w:spacing w:line="276" w:lineRule="auto"/>
        <w:jc w:val="both"/>
      </w:pPr>
      <w:r w:rsidRPr="00EA1CA4">
        <w:rPr>
          <w:b/>
        </w:rPr>
        <w:t>Shkalla e suksesit të trajtimit të TB</w:t>
      </w:r>
      <w:r w:rsidR="0079717D" w:rsidRPr="00EA1CA4">
        <w:rPr>
          <w:b/>
        </w:rPr>
        <w:t>-së</w:t>
      </w:r>
      <w:r w:rsidR="00254429" w:rsidRPr="00EA1CA4">
        <w:rPr>
          <w:b/>
        </w:rPr>
        <w:t>:</w:t>
      </w:r>
      <w:r w:rsidR="007A596D" w:rsidRPr="00EA1CA4">
        <w:rPr>
          <w:b/>
        </w:rPr>
        <w:t xml:space="preserve"> </w:t>
      </w:r>
      <w:r w:rsidR="002A0F9F" w:rsidRPr="00EA1CA4">
        <w:t xml:space="preserve">Mbulimi i trajtimit të </w:t>
      </w:r>
      <w:r w:rsidR="00B1666B" w:rsidRPr="00EA1CA4">
        <w:t>TB-së</w:t>
      </w:r>
      <w:r w:rsidR="002A0F9F" w:rsidRPr="00EA1CA4">
        <w:t xml:space="preserve"> është 100%</w:t>
      </w:r>
      <w:r w:rsidR="00B1666B" w:rsidRPr="00EA1CA4">
        <w:t xml:space="preserve">, </w:t>
      </w:r>
      <w:r w:rsidR="002A0F9F" w:rsidRPr="00EA1CA4">
        <w:t xml:space="preserve">me një shkallë mesatare suksesi prej 86%. Shkalla e suksesit të trajtimit në mesin e rasteve </w:t>
      </w:r>
      <w:r w:rsidR="00B1666B" w:rsidRPr="00EA1CA4">
        <w:t xml:space="preserve">pulmonare </w:t>
      </w:r>
      <w:r w:rsidR="002A0F9F" w:rsidRPr="00EA1CA4">
        <w:t>të konfirmuara bakteriologjikisht kanë qenë vazhdimisht të larta</w:t>
      </w:r>
      <w:r w:rsidR="00B1666B" w:rsidRPr="00EA1CA4">
        <w:t>,</w:t>
      </w:r>
      <w:r w:rsidR="002A0F9F" w:rsidRPr="00EA1CA4">
        <w:t xml:space="preserve"> </w:t>
      </w:r>
      <w:r w:rsidR="00B1666B" w:rsidRPr="00EA1CA4">
        <w:t xml:space="preserve">me </w:t>
      </w:r>
      <w:r w:rsidR="002A0F9F" w:rsidRPr="00EA1CA4">
        <w:t xml:space="preserve">rreth 90% gjatë 10 viteve të fundit. Përqindja e të trajtuarve me sukses (të shëruar dhe </w:t>
      </w:r>
      <w:r w:rsidR="00B1666B" w:rsidRPr="00EA1CA4">
        <w:t xml:space="preserve">m </w:t>
      </w:r>
      <w:r w:rsidR="002A0F9F" w:rsidRPr="00EA1CA4">
        <w:t xml:space="preserve">trajtim </w:t>
      </w:r>
      <w:r w:rsidR="00B1666B" w:rsidRPr="00EA1CA4">
        <w:t>të</w:t>
      </w:r>
      <w:r w:rsidR="002A0F9F" w:rsidRPr="00EA1CA4">
        <w:t xml:space="preserve"> përfunduar) </w:t>
      </w:r>
      <w:r w:rsidR="00B1666B" w:rsidRPr="00EA1CA4">
        <w:t>ka qenë 8</w:t>
      </w:r>
      <w:r w:rsidR="002A0F9F" w:rsidRPr="00EA1CA4">
        <w:t xml:space="preserve">6% në </w:t>
      </w:r>
      <w:r w:rsidR="00B1666B" w:rsidRPr="00EA1CA4">
        <w:t xml:space="preserve">vitin </w:t>
      </w:r>
      <w:r w:rsidR="002A0F9F" w:rsidRPr="00EA1CA4">
        <w:t xml:space="preserve">2017, dhe 82% në </w:t>
      </w:r>
      <w:r w:rsidR="00B1666B" w:rsidRPr="00EA1CA4">
        <w:t xml:space="preserve">vitin </w:t>
      </w:r>
      <w:r w:rsidR="002A0F9F" w:rsidRPr="00EA1CA4">
        <w:t>2018. Shkalla e vdekshmërisë nga TB është e ulët; 1,39/100,000 në</w:t>
      </w:r>
      <w:r w:rsidR="00B1666B" w:rsidRPr="00EA1CA4">
        <w:t xml:space="preserve"> vitin </w:t>
      </w:r>
      <w:r w:rsidR="002A0F9F" w:rsidRPr="00EA1CA4">
        <w:t xml:space="preserve">2017 dhe 1,45/100,000 në </w:t>
      </w:r>
      <w:r w:rsidR="00B1666B" w:rsidRPr="00EA1CA4">
        <w:t xml:space="preserve">vitin </w:t>
      </w:r>
      <w:r w:rsidR="002A0F9F" w:rsidRPr="00EA1CA4">
        <w:t xml:space="preserve">2018. </w:t>
      </w:r>
      <w:r w:rsidR="00B1666B" w:rsidRPr="00EA1CA4">
        <w:t>Humbja në s</w:t>
      </w:r>
      <w:r w:rsidR="002A0F9F" w:rsidRPr="00EA1CA4">
        <w:t>hkall</w:t>
      </w:r>
      <w:r w:rsidR="00B1666B" w:rsidRPr="00EA1CA4">
        <w:t xml:space="preserve">ën e përcjelljes </w:t>
      </w:r>
      <w:r w:rsidR="002A0F9F" w:rsidRPr="00EA1CA4">
        <w:t>është 3.3/100,000. Hetimi i kontaktit kryhet aktualisht vetëm në 50% të të gjitha rasteve të</w:t>
      </w:r>
      <w:r w:rsidR="00B1666B" w:rsidRPr="00EA1CA4">
        <w:t xml:space="preserve"> njoftuara me </w:t>
      </w:r>
      <w:r w:rsidR="002A0F9F" w:rsidRPr="00EA1CA4">
        <w:t>TB (që do të rritet me mbështetjen e kësaj kërkese financimi</w:t>
      </w:r>
      <w:r w:rsidR="00B1666B" w:rsidRPr="00EA1CA4">
        <w:t>,</w:t>
      </w:r>
      <w:r w:rsidR="002A0F9F" w:rsidRPr="00EA1CA4">
        <w:t xml:space="preserve"> duke zhvendosur hetimin e kontaktit nga kujdesi </w:t>
      </w:r>
      <w:r w:rsidR="008C4DA5" w:rsidRPr="00EA1CA4">
        <w:t>shëndetësor dytësor</w:t>
      </w:r>
      <w:r w:rsidR="00B1666B" w:rsidRPr="00EA1CA4">
        <w:t>,</w:t>
      </w:r>
      <w:r w:rsidR="002A0F9F" w:rsidRPr="00EA1CA4">
        <w:t xml:space="preserve"> poshtë në kujdesin parësor) me 33 raste të zbuluara rrjedhimisht</w:t>
      </w:r>
      <w:r w:rsidR="00B1666B" w:rsidRPr="00EA1CA4">
        <w:t>,</w:t>
      </w:r>
      <w:r w:rsidR="002A0F9F" w:rsidRPr="00EA1CA4">
        <w:t xml:space="preserve"> përgjatë të cilave është 4.7% e të gjitha rasteve të TB të njoftuara</w:t>
      </w:r>
      <w:r w:rsidR="00254429" w:rsidRPr="00EA1CA4">
        <w:t xml:space="preserve">.  </w:t>
      </w:r>
    </w:p>
    <w:p w:rsidR="00254429" w:rsidRPr="00EA1CA4" w:rsidRDefault="00254429" w:rsidP="00624E04">
      <w:pPr>
        <w:spacing w:line="276" w:lineRule="auto"/>
        <w:jc w:val="both"/>
        <w:rPr>
          <w:vertAlign w:val="superscript"/>
        </w:rPr>
      </w:pPr>
      <w:r w:rsidRPr="00EA1CA4">
        <w:rPr>
          <w:b/>
        </w:rPr>
        <w:t>M</w:t>
      </w:r>
      <w:r w:rsidR="00E948BD" w:rsidRPr="00EA1CA4">
        <w:rPr>
          <w:b/>
        </w:rPr>
        <w:t>D</w:t>
      </w:r>
      <w:r w:rsidR="00DB61E6" w:rsidRPr="00EA1CA4">
        <w:rPr>
          <w:b/>
        </w:rPr>
        <w:t>R</w:t>
      </w:r>
      <w:r w:rsidR="0079717D" w:rsidRPr="00EA1CA4">
        <w:rPr>
          <w:b/>
        </w:rPr>
        <w:t>-</w:t>
      </w:r>
      <w:r w:rsidRPr="00EA1CA4">
        <w:rPr>
          <w:b/>
        </w:rPr>
        <w:t>TB:</w:t>
      </w:r>
      <w:r w:rsidR="0079717D" w:rsidRPr="00EA1CA4">
        <w:rPr>
          <w:b/>
        </w:rPr>
        <w:t xml:space="preserve"> </w:t>
      </w:r>
      <w:r w:rsidR="002A0F9F" w:rsidRPr="00EA1CA4">
        <w:t>TB-ja rezistente ndaj shumë barnave (</w:t>
      </w:r>
      <w:r w:rsidR="0079717D" w:rsidRPr="00EA1CA4">
        <w:t>M</w:t>
      </w:r>
      <w:r w:rsidR="00DB61E6" w:rsidRPr="00EA1CA4">
        <w:t>DR</w:t>
      </w:r>
      <w:r w:rsidR="002A0F9F" w:rsidRPr="00EA1CA4">
        <w:t>-TB) është një problem relativisht i vogël në Kosovë</w:t>
      </w:r>
      <w:r w:rsidR="00B1666B" w:rsidRPr="00EA1CA4">
        <w:t>,</w:t>
      </w:r>
      <w:r w:rsidR="002A0F9F" w:rsidRPr="00EA1CA4">
        <w:t xml:space="preserve"> me vetëm disa raste që janë diagnostikuar gjatë dekadës së fundit. Bazuar në vlerësimet e mëparshme të </w:t>
      </w:r>
      <w:r w:rsidR="00B1666B" w:rsidRPr="00EA1CA4">
        <w:t>DRS</w:t>
      </w:r>
      <w:r w:rsidR="002A0F9F" w:rsidRPr="00EA1CA4">
        <w:t xml:space="preserve"> për </w:t>
      </w:r>
      <w:r w:rsidR="00DB61E6" w:rsidRPr="00EA1CA4">
        <w:t>MDR-TB</w:t>
      </w:r>
      <w:r w:rsidR="002A0F9F" w:rsidRPr="00EA1CA4">
        <w:t>, priten rreth 3-5 raste në vit</w:t>
      </w:r>
      <w:bookmarkStart w:id="14" w:name="_Ref82959645"/>
      <w:r w:rsidRPr="00EA1CA4">
        <w:rPr>
          <w:rStyle w:val="FootnoteReference"/>
          <w:bCs/>
          <w:iCs/>
        </w:rPr>
        <w:footnoteReference w:id="12"/>
      </w:r>
      <w:bookmarkEnd w:id="14"/>
      <w:r w:rsidRPr="00EA1CA4">
        <w:rPr>
          <w:bCs/>
          <w:iCs/>
        </w:rPr>
        <w:t xml:space="preserve">; </w:t>
      </w:r>
      <w:r w:rsidR="00B1666B" w:rsidRPr="00EA1CA4">
        <w:rPr>
          <w:bCs/>
          <w:iCs/>
        </w:rPr>
        <w:t>gjat</w:t>
      </w:r>
      <w:r w:rsidR="002A0F9F" w:rsidRPr="00EA1CA4">
        <w:rPr>
          <w:bCs/>
          <w:iCs/>
        </w:rPr>
        <w:t xml:space="preserve">ë </w:t>
      </w:r>
      <w:r w:rsidR="00B1666B" w:rsidRPr="00EA1CA4">
        <w:rPr>
          <w:bCs/>
          <w:iCs/>
        </w:rPr>
        <w:t>periudhës</w:t>
      </w:r>
      <w:r w:rsidR="002A0F9F" w:rsidRPr="00EA1CA4">
        <w:rPr>
          <w:bCs/>
          <w:iCs/>
        </w:rPr>
        <w:t xml:space="preserve"> 2018-2020 nuk </w:t>
      </w:r>
      <w:r w:rsidR="00B1666B" w:rsidRPr="00EA1CA4">
        <w:rPr>
          <w:bCs/>
          <w:iCs/>
        </w:rPr>
        <w:t xml:space="preserve">është </w:t>
      </w:r>
      <w:r w:rsidR="002A0F9F" w:rsidRPr="00EA1CA4">
        <w:rPr>
          <w:bCs/>
          <w:iCs/>
        </w:rPr>
        <w:t>diagnostikua</w:t>
      </w:r>
      <w:r w:rsidR="00B1666B" w:rsidRPr="00EA1CA4">
        <w:rPr>
          <w:bCs/>
          <w:iCs/>
        </w:rPr>
        <w:t>r</w:t>
      </w:r>
      <w:r w:rsidR="002A0F9F" w:rsidRPr="00EA1CA4">
        <w:rPr>
          <w:bCs/>
          <w:iCs/>
        </w:rPr>
        <w:t xml:space="preserve"> asnjë rast me </w:t>
      </w:r>
      <w:r w:rsidR="00DB61E6" w:rsidRPr="00EA1CA4">
        <w:rPr>
          <w:bCs/>
          <w:iCs/>
        </w:rPr>
        <w:t>MDR-TB</w:t>
      </w:r>
      <w:r w:rsidR="002A0F9F" w:rsidRPr="00EA1CA4">
        <w:rPr>
          <w:bCs/>
          <w:iCs/>
        </w:rPr>
        <w:t>. Të dhënat paraprake për vitin 2021 raportojnë tre r</w:t>
      </w:r>
      <w:r w:rsidR="00013AF1" w:rsidRPr="00EA1CA4">
        <w:rPr>
          <w:bCs/>
          <w:iCs/>
        </w:rPr>
        <w:t xml:space="preserve">aste të konfirmuara të </w:t>
      </w:r>
      <w:r w:rsidR="00DB61E6" w:rsidRPr="00EA1CA4">
        <w:rPr>
          <w:bCs/>
          <w:iCs/>
        </w:rPr>
        <w:t>MDR-TB</w:t>
      </w:r>
      <w:r w:rsidR="002A0F9F" w:rsidRPr="00EA1CA4">
        <w:rPr>
          <w:bCs/>
          <w:iCs/>
        </w:rPr>
        <w:t>. Kjo ngre shqetësime për nën</w:t>
      </w:r>
      <w:r w:rsidR="00DB61E6" w:rsidRPr="00EA1CA4">
        <w:rPr>
          <w:bCs/>
          <w:iCs/>
        </w:rPr>
        <w:t>-</w:t>
      </w:r>
      <w:r w:rsidR="002A0F9F" w:rsidRPr="00EA1CA4">
        <w:rPr>
          <w:bCs/>
          <w:iCs/>
        </w:rPr>
        <w:t>deklarim</w:t>
      </w:r>
      <w:r w:rsidR="00DB61E6" w:rsidRPr="00EA1CA4">
        <w:rPr>
          <w:bCs/>
          <w:iCs/>
        </w:rPr>
        <w:t>in</w:t>
      </w:r>
      <w:r w:rsidR="002A0F9F" w:rsidRPr="00EA1CA4">
        <w:rPr>
          <w:bCs/>
          <w:iCs/>
        </w:rPr>
        <w:t xml:space="preserve"> dhe </w:t>
      </w:r>
      <w:r w:rsidR="002A0F9F" w:rsidRPr="00EA1CA4">
        <w:rPr>
          <w:bCs/>
          <w:iCs/>
        </w:rPr>
        <w:lastRenderedPageBreak/>
        <w:t>nën-raportim</w:t>
      </w:r>
      <w:r w:rsidR="00DB61E6" w:rsidRPr="00EA1CA4">
        <w:rPr>
          <w:bCs/>
          <w:iCs/>
        </w:rPr>
        <w:t>in</w:t>
      </w:r>
      <w:r w:rsidR="002A0F9F" w:rsidRPr="00EA1CA4">
        <w:rPr>
          <w:bCs/>
          <w:iCs/>
        </w:rPr>
        <w:t xml:space="preserve"> </w:t>
      </w:r>
      <w:r w:rsidR="00DB61E6" w:rsidRPr="00EA1CA4">
        <w:rPr>
          <w:bCs/>
          <w:iCs/>
        </w:rPr>
        <w:t>e</w:t>
      </w:r>
      <w:r w:rsidR="002A0F9F" w:rsidRPr="00EA1CA4">
        <w:rPr>
          <w:bCs/>
          <w:iCs/>
        </w:rPr>
        <w:t xml:space="preserve"> rasteve. Shkalla e suksesit t</w:t>
      </w:r>
      <w:r w:rsidR="00013AF1" w:rsidRPr="00EA1CA4">
        <w:rPr>
          <w:bCs/>
          <w:iCs/>
        </w:rPr>
        <w:t xml:space="preserve">ë trajtimit për pacientët me </w:t>
      </w:r>
      <w:r w:rsidR="00B1666B" w:rsidRPr="00EA1CA4">
        <w:rPr>
          <w:bCs/>
          <w:iCs/>
        </w:rPr>
        <w:t xml:space="preserve">MDR-TB </w:t>
      </w:r>
      <w:r w:rsidR="002A0F9F" w:rsidRPr="00EA1CA4">
        <w:rPr>
          <w:bCs/>
          <w:iCs/>
        </w:rPr>
        <w:t>është mbi 90%</w:t>
      </w:r>
      <w:r w:rsidRPr="00EA1CA4">
        <w:t>.</w:t>
      </w:r>
      <w:r w:rsidR="00D75ED6">
        <w:fldChar w:fldCharType="begin"/>
      </w:r>
      <w:r w:rsidR="00D75ED6">
        <w:instrText xml:space="preserve"> NOTEREF _Ref82439528 \f \h  \* MERGEFORMAT </w:instrText>
      </w:r>
      <w:r w:rsidR="00D75ED6">
        <w:fldChar w:fldCharType="separate"/>
      </w:r>
      <w:r w:rsidR="00DD5916" w:rsidRPr="00EA1CA4">
        <w:t>11</w:t>
      </w:r>
      <w:r w:rsidR="00D75ED6">
        <w:fldChar w:fldCharType="end"/>
      </w:r>
    </w:p>
    <w:p w:rsidR="008F0C51" w:rsidRPr="00EA1CA4" w:rsidRDefault="008F0C51" w:rsidP="00624E04">
      <w:pPr>
        <w:spacing w:line="276" w:lineRule="auto"/>
        <w:jc w:val="both"/>
      </w:pPr>
    </w:p>
    <w:p w:rsidR="00254429" w:rsidRPr="00EA1CA4" w:rsidRDefault="00254429" w:rsidP="00624E04">
      <w:pPr>
        <w:pStyle w:val="Caption"/>
        <w:keepNext/>
        <w:spacing w:line="276" w:lineRule="auto"/>
        <w:jc w:val="both"/>
      </w:pPr>
      <w:bookmarkStart w:id="15" w:name="_Toc93005271"/>
      <w:r w:rsidRPr="00EA1CA4">
        <w:t>Tab</w:t>
      </w:r>
      <w:r w:rsidR="002A0F9F" w:rsidRPr="00EA1CA4">
        <w:t>ela</w:t>
      </w:r>
      <w:r w:rsidR="004F447E" w:rsidRPr="00EA1CA4">
        <w:t xml:space="preserve"> </w:t>
      </w:r>
      <w:r w:rsidR="002343B9" w:rsidRPr="00EA1CA4">
        <w:fldChar w:fldCharType="begin"/>
      </w:r>
      <w:r w:rsidR="00E0775B" w:rsidRPr="00EA1CA4">
        <w:instrText xml:space="preserve"> SEQ Table \* ARABIC </w:instrText>
      </w:r>
      <w:r w:rsidR="002343B9" w:rsidRPr="00EA1CA4">
        <w:fldChar w:fldCharType="separate"/>
      </w:r>
      <w:r w:rsidR="00DD5916" w:rsidRPr="00EA1CA4">
        <w:rPr>
          <w:noProof/>
        </w:rPr>
        <w:t>1</w:t>
      </w:r>
      <w:r w:rsidR="002343B9" w:rsidRPr="00EA1CA4">
        <w:fldChar w:fldCharType="end"/>
      </w:r>
      <w:r w:rsidR="004F447E" w:rsidRPr="00EA1CA4">
        <w:t>: Rastet e MDR-TB</w:t>
      </w:r>
      <w:r w:rsidR="002A0F9F" w:rsidRPr="00EA1CA4">
        <w:t xml:space="preserve"> sipas viteve</w:t>
      </w:r>
      <w:bookmarkEnd w:id="15"/>
    </w:p>
    <w:tbl>
      <w:tblPr>
        <w:tblStyle w:val="TableGrid"/>
        <w:tblW w:w="0" w:type="auto"/>
        <w:tblInd w:w="113" w:type="dxa"/>
        <w:tblLook w:val="04A0" w:firstRow="1" w:lastRow="0" w:firstColumn="1" w:lastColumn="0" w:noHBand="0" w:noVBand="1"/>
      </w:tblPr>
      <w:tblGrid>
        <w:gridCol w:w="1682"/>
        <w:gridCol w:w="830"/>
        <w:gridCol w:w="911"/>
        <w:gridCol w:w="911"/>
        <w:gridCol w:w="911"/>
        <w:gridCol w:w="911"/>
        <w:gridCol w:w="911"/>
        <w:gridCol w:w="911"/>
        <w:gridCol w:w="911"/>
        <w:gridCol w:w="911"/>
      </w:tblGrid>
      <w:tr w:rsidR="00254429" w:rsidRPr="00EA1CA4" w:rsidTr="00BA7283">
        <w:trPr>
          <w:trHeight w:val="288"/>
        </w:trPr>
        <w:tc>
          <w:tcPr>
            <w:tcW w:w="1682" w:type="dxa"/>
            <w:noWrap/>
            <w:hideMark/>
          </w:tcPr>
          <w:p w:rsidR="00254429" w:rsidRPr="00EA1CA4" w:rsidRDefault="002A0F9F" w:rsidP="00624E04">
            <w:pPr>
              <w:spacing w:line="276" w:lineRule="auto"/>
              <w:jc w:val="both"/>
              <w:rPr>
                <w:b/>
                <w:lang w:val="sq-AL"/>
              </w:rPr>
            </w:pPr>
            <w:r w:rsidRPr="00EA1CA4">
              <w:rPr>
                <w:b/>
                <w:lang w:val="sq-AL"/>
              </w:rPr>
              <w:t>Vitet</w:t>
            </w:r>
          </w:p>
        </w:tc>
        <w:tc>
          <w:tcPr>
            <w:tcW w:w="830" w:type="dxa"/>
            <w:noWrap/>
            <w:hideMark/>
          </w:tcPr>
          <w:p w:rsidR="00254429" w:rsidRPr="00EA1CA4" w:rsidRDefault="00254429" w:rsidP="00832EFD">
            <w:pPr>
              <w:spacing w:line="276" w:lineRule="auto"/>
              <w:jc w:val="center"/>
              <w:rPr>
                <w:b/>
                <w:lang w:val="sq-AL"/>
              </w:rPr>
            </w:pPr>
            <w:r w:rsidRPr="00EA1CA4">
              <w:rPr>
                <w:b/>
                <w:lang w:val="sq-AL"/>
              </w:rPr>
              <w:t>2013</w:t>
            </w:r>
          </w:p>
        </w:tc>
        <w:tc>
          <w:tcPr>
            <w:tcW w:w="911" w:type="dxa"/>
            <w:noWrap/>
            <w:hideMark/>
          </w:tcPr>
          <w:p w:rsidR="00254429" w:rsidRPr="00EA1CA4" w:rsidRDefault="00254429" w:rsidP="00832EFD">
            <w:pPr>
              <w:spacing w:line="276" w:lineRule="auto"/>
              <w:jc w:val="center"/>
              <w:rPr>
                <w:b/>
                <w:lang w:val="sq-AL"/>
              </w:rPr>
            </w:pPr>
            <w:r w:rsidRPr="00EA1CA4">
              <w:rPr>
                <w:b/>
                <w:lang w:val="sq-AL"/>
              </w:rPr>
              <w:t>2014</w:t>
            </w:r>
          </w:p>
        </w:tc>
        <w:tc>
          <w:tcPr>
            <w:tcW w:w="911" w:type="dxa"/>
            <w:noWrap/>
            <w:hideMark/>
          </w:tcPr>
          <w:p w:rsidR="00254429" w:rsidRPr="00EA1CA4" w:rsidRDefault="00254429" w:rsidP="00832EFD">
            <w:pPr>
              <w:spacing w:line="276" w:lineRule="auto"/>
              <w:jc w:val="center"/>
              <w:rPr>
                <w:b/>
                <w:lang w:val="sq-AL"/>
              </w:rPr>
            </w:pPr>
            <w:r w:rsidRPr="00EA1CA4">
              <w:rPr>
                <w:b/>
                <w:lang w:val="sq-AL"/>
              </w:rPr>
              <w:t>2015</w:t>
            </w:r>
          </w:p>
        </w:tc>
        <w:tc>
          <w:tcPr>
            <w:tcW w:w="911" w:type="dxa"/>
            <w:noWrap/>
            <w:hideMark/>
          </w:tcPr>
          <w:p w:rsidR="00254429" w:rsidRPr="00EA1CA4" w:rsidRDefault="00254429" w:rsidP="00832EFD">
            <w:pPr>
              <w:spacing w:line="276" w:lineRule="auto"/>
              <w:jc w:val="center"/>
              <w:rPr>
                <w:b/>
                <w:lang w:val="sq-AL"/>
              </w:rPr>
            </w:pPr>
            <w:r w:rsidRPr="00EA1CA4">
              <w:rPr>
                <w:b/>
                <w:lang w:val="sq-AL"/>
              </w:rPr>
              <w:t>2016</w:t>
            </w:r>
          </w:p>
        </w:tc>
        <w:tc>
          <w:tcPr>
            <w:tcW w:w="911" w:type="dxa"/>
            <w:noWrap/>
            <w:hideMark/>
          </w:tcPr>
          <w:p w:rsidR="00254429" w:rsidRPr="00EA1CA4" w:rsidRDefault="00254429" w:rsidP="00832EFD">
            <w:pPr>
              <w:spacing w:line="276" w:lineRule="auto"/>
              <w:jc w:val="center"/>
              <w:rPr>
                <w:b/>
                <w:lang w:val="sq-AL"/>
              </w:rPr>
            </w:pPr>
            <w:r w:rsidRPr="00EA1CA4">
              <w:rPr>
                <w:b/>
                <w:lang w:val="sq-AL"/>
              </w:rPr>
              <w:t>2017</w:t>
            </w:r>
          </w:p>
        </w:tc>
        <w:tc>
          <w:tcPr>
            <w:tcW w:w="911" w:type="dxa"/>
            <w:noWrap/>
            <w:hideMark/>
          </w:tcPr>
          <w:p w:rsidR="00254429" w:rsidRPr="00EA1CA4" w:rsidRDefault="00254429" w:rsidP="00832EFD">
            <w:pPr>
              <w:spacing w:line="276" w:lineRule="auto"/>
              <w:jc w:val="center"/>
              <w:rPr>
                <w:b/>
                <w:lang w:val="sq-AL"/>
              </w:rPr>
            </w:pPr>
            <w:r w:rsidRPr="00EA1CA4">
              <w:rPr>
                <w:b/>
                <w:lang w:val="sq-AL"/>
              </w:rPr>
              <w:t>2018</w:t>
            </w:r>
          </w:p>
        </w:tc>
        <w:tc>
          <w:tcPr>
            <w:tcW w:w="911" w:type="dxa"/>
            <w:noWrap/>
            <w:hideMark/>
          </w:tcPr>
          <w:p w:rsidR="00254429" w:rsidRPr="00EA1CA4" w:rsidRDefault="00254429" w:rsidP="00832EFD">
            <w:pPr>
              <w:spacing w:line="276" w:lineRule="auto"/>
              <w:jc w:val="center"/>
              <w:rPr>
                <w:b/>
                <w:lang w:val="sq-AL"/>
              </w:rPr>
            </w:pPr>
            <w:r w:rsidRPr="00EA1CA4">
              <w:rPr>
                <w:b/>
                <w:lang w:val="sq-AL"/>
              </w:rPr>
              <w:t>2019</w:t>
            </w:r>
          </w:p>
        </w:tc>
        <w:tc>
          <w:tcPr>
            <w:tcW w:w="911" w:type="dxa"/>
            <w:noWrap/>
            <w:hideMark/>
          </w:tcPr>
          <w:p w:rsidR="00254429" w:rsidRPr="00EA1CA4" w:rsidRDefault="00254429" w:rsidP="00832EFD">
            <w:pPr>
              <w:spacing w:line="276" w:lineRule="auto"/>
              <w:jc w:val="center"/>
              <w:rPr>
                <w:b/>
                <w:lang w:val="sq-AL"/>
              </w:rPr>
            </w:pPr>
            <w:r w:rsidRPr="00EA1CA4">
              <w:rPr>
                <w:b/>
                <w:lang w:val="sq-AL"/>
              </w:rPr>
              <w:t>2020</w:t>
            </w:r>
          </w:p>
        </w:tc>
        <w:tc>
          <w:tcPr>
            <w:tcW w:w="911" w:type="dxa"/>
            <w:noWrap/>
            <w:hideMark/>
          </w:tcPr>
          <w:p w:rsidR="00254429" w:rsidRPr="00EA1CA4" w:rsidRDefault="00254429" w:rsidP="00832EFD">
            <w:pPr>
              <w:spacing w:line="276" w:lineRule="auto"/>
              <w:jc w:val="center"/>
              <w:rPr>
                <w:b/>
                <w:lang w:val="sq-AL"/>
              </w:rPr>
            </w:pPr>
            <w:r w:rsidRPr="00EA1CA4">
              <w:rPr>
                <w:b/>
                <w:lang w:val="sq-AL"/>
              </w:rPr>
              <w:t>2021</w:t>
            </w:r>
          </w:p>
        </w:tc>
      </w:tr>
      <w:tr w:rsidR="00254429" w:rsidRPr="00EA1CA4" w:rsidTr="00BA7283">
        <w:trPr>
          <w:trHeight w:val="576"/>
        </w:trPr>
        <w:tc>
          <w:tcPr>
            <w:tcW w:w="1682" w:type="dxa"/>
            <w:hideMark/>
          </w:tcPr>
          <w:p w:rsidR="00254429" w:rsidRPr="00EA1CA4" w:rsidRDefault="00254429" w:rsidP="00832EFD">
            <w:pPr>
              <w:spacing w:line="276" w:lineRule="auto"/>
              <w:rPr>
                <w:b/>
                <w:lang w:val="sq-AL"/>
              </w:rPr>
            </w:pPr>
            <w:r w:rsidRPr="00EA1CA4">
              <w:rPr>
                <w:b/>
                <w:lang w:val="sq-AL"/>
              </w:rPr>
              <w:t xml:space="preserve"># </w:t>
            </w:r>
            <w:r w:rsidR="004F447E" w:rsidRPr="00EA1CA4">
              <w:rPr>
                <w:b/>
                <w:lang w:val="sq-AL"/>
              </w:rPr>
              <w:t xml:space="preserve">MDR-TB </w:t>
            </w:r>
            <w:r w:rsidR="00832EFD" w:rsidRPr="00EA1CA4">
              <w:rPr>
                <w:b/>
                <w:lang w:val="sq-AL"/>
              </w:rPr>
              <w:t>t</w:t>
            </w:r>
            <w:r w:rsidR="00832EFD" w:rsidRPr="00EA1CA4">
              <w:rPr>
                <w:lang w:val="sq-AL"/>
              </w:rPr>
              <w:t xml:space="preserve">ë </w:t>
            </w:r>
            <w:r w:rsidR="002A0F9F" w:rsidRPr="00EA1CA4">
              <w:rPr>
                <w:b/>
                <w:lang w:val="sq-AL"/>
              </w:rPr>
              <w:t>diagnostikuar</w:t>
            </w:r>
          </w:p>
        </w:tc>
        <w:tc>
          <w:tcPr>
            <w:tcW w:w="830" w:type="dxa"/>
            <w:noWrap/>
            <w:hideMark/>
          </w:tcPr>
          <w:p w:rsidR="00254429" w:rsidRPr="00EA1CA4" w:rsidRDefault="00254429" w:rsidP="00832EFD">
            <w:pPr>
              <w:spacing w:line="276" w:lineRule="auto"/>
              <w:jc w:val="center"/>
              <w:rPr>
                <w:b/>
                <w:lang w:val="sq-AL"/>
              </w:rPr>
            </w:pPr>
            <w:r w:rsidRPr="00EA1CA4">
              <w:rPr>
                <w:b/>
                <w:lang w:val="sq-AL"/>
              </w:rPr>
              <w:t>5</w:t>
            </w:r>
          </w:p>
        </w:tc>
        <w:tc>
          <w:tcPr>
            <w:tcW w:w="911" w:type="dxa"/>
            <w:noWrap/>
            <w:hideMark/>
          </w:tcPr>
          <w:p w:rsidR="00254429" w:rsidRPr="00EA1CA4" w:rsidRDefault="00254429" w:rsidP="00832EFD">
            <w:pPr>
              <w:spacing w:line="276" w:lineRule="auto"/>
              <w:jc w:val="center"/>
              <w:rPr>
                <w:b/>
                <w:lang w:val="sq-AL"/>
              </w:rPr>
            </w:pPr>
            <w:r w:rsidRPr="00EA1CA4">
              <w:rPr>
                <w:b/>
                <w:lang w:val="sq-AL"/>
              </w:rPr>
              <w:t>1</w:t>
            </w:r>
          </w:p>
        </w:tc>
        <w:tc>
          <w:tcPr>
            <w:tcW w:w="911" w:type="dxa"/>
            <w:noWrap/>
            <w:hideMark/>
          </w:tcPr>
          <w:p w:rsidR="00254429" w:rsidRPr="00EA1CA4" w:rsidRDefault="00254429" w:rsidP="00832EFD">
            <w:pPr>
              <w:spacing w:line="276" w:lineRule="auto"/>
              <w:jc w:val="center"/>
              <w:rPr>
                <w:b/>
                <w:lang w:val="sq-AL"/>
              </w:rPr>
            </w:pPr>
            <w:r w:rsidRPr="00EA1CA4">
              <w:rPr>
                <w:b/>
                <w:lang w:val="sq-AL"/>
              </w:rPr>
              <w:t>2</w:t>
            </w:r>
          </w:p>
        </w:tc>
        <w:tc>
          <w:tcPr>
            <w:tcW w:w="911" w:type="dxa"/>
            <w:noWrap/>
            <w:hideMark/>
          </w:tcPr>
          <w:p w:rsidR="00254429" w:rsidRPr="00EA1CA4" w:rsidRDefault="00254429" w:rsidP="00832EFD">
            <w:pPr>
              <w:spacing w:line="276" w:lineRule="auto"/>
              <w:jc w:val="center"/>
              <w:rPr>
                <w:b/>
                <w:lang w:val="sq-AL"/>
              </w:rPr>
            </w:pPr>
            <w:r w:rsidRPr="00EA1CA4">
              <w:rPr>
                <w:b/>
                <w:lang w:val="sq-AL"/>
              </w:rPr>
              <w:t>2</w:t>
            </w:r>
          </w:p>
        </w:tc>
        <w:tc>
          <w:tcPr>
            <w:tcW w:w="911" w:type="dxa"/>
            <w:noWrap/>
            <w:hideMark/>
          </w:tcPr>
          <w:p w:rsidR="00254429" w:rsidRPr="00EA1CA4" w:rsidRDefault="00254429" w:rsidP="00832EFD">
            <w:pPr>
              <w:spacing w:line="276" w:lineRule="auto"/>
              <w:jc w:val="center"/>
              <w:rPr>
                <w:b/>
                <w:lang w:val="sq-AL"/>
              </w:rPr>
            </w:pPr>
            <w:r w:rsidRPr="00EA1CA4">
              <w:rPr>
                <w:b/>
                <w:lang w:val="sq-AL"/>
              </w:rPr>
              <w:t>3</w:t>
            </w:r>
          </w:p>
        </w:tc>
        <w:tc>
          <w:tcPr>
            <w:tcW w:w="911" w:type="dxa"/>
            <w:noWrap/>
            <w:hideMark/>
          </w:tcPr>
          <w:p w:rsidR="00254429" w:rsidRPr="00EA1CA4" w:rsidRDefault="00254429" w:rsidP="00832EFD">
            <w:pPr>
              <w:spacing w:line="276" w:lineRule="auto"/>
              <w:jc w:val="center"/>
              <w:rPr>
                <w:b/>
                <w:lang w:val="sq-AL"/>
              </w:rPr>
            </w:pPr>
            <w:r w:rsidRPr="00EA1CA4">
              <w:rPr>
                <w:b/>
                <w:lang w:val="sq-AL"/>
              </w:rPr>
              <w:t>0</w:t>
            </w:r>
          </w:p>
        </w:tc>
        <w:tc>
          <w:tcPr>
            <w:tcW w:w="911" w:type="dxa"/>
            <w:noWrap/>
            <w:hideMark/>
          </w:tcPr>
          <w:p w:rsidR="00254429" w:rsidRPr="00EA1CA4" w:rsidRDefault="00254429" w:rsidP="00832EFD">
            <w:pPr>
              <w:spacing w:line="276" w:lineRule="auto"/>
              <w:jc w:val="center"/>
              <w:rPr>
                <w:b/>
                <w:lang w:val="sq-AL"/>
              </w:rPr>
            </w:pPr>
            <w:r w:rsidRPr="00EA1CA4">
              <w:rPr>
                <w:b/>
                <w:lang w:val="sq-AL"/>
              </w:rPr>
              <w:t>0</w:t>
            </w:r>
          </w:p>
        </w:tc>
        <w:tc>
          <w:tcPr>
            <w:tcW w:w="911" w:type="dxa"/>
            <w:noWrap/>
            <w:hideMark/>
          </w:tcPr>
          <w:p w:rsidR="00254429" w:rsidRPr="00EA1CA4" w:rsidRDefault="00254429" w:rsidP="00832EFD">
            <w:pPr>
              <w:spacing w:line="276" w:lineRule="auto"/>
              <w:jc w:val="center"/>
              <w:rPr>
                <w:b/>
                <w:lang w:val="sq-AL"/>
              </w:rPr>
            </w:pPr>
            <w:r w:rsidRPr="00EA1CA4">
              <w:rPr>
                <w:b/>
                <w:lang w:val="sq-AL"/>
              </w:rPr>
              <w:t>0</w:t>
            </w:r>
          </w:p>
        </w:tc>
        <w:tc>
          <w:tcPr>
            <w:tcW w:w="911" w:type="dxa"/>
            <w:noWrap/>
            <w:hideMark/>
          </w:tcPr>
          <w:p w:rsidR="00254429" w:rsidRPr="00EA1CA4" w:rsidRDefault="00254429" w:rsidP="00832EFD">
            <w:pPr>
              <w:spacing w:line="276" w:lineRule="auto"/>
              <w:jc w:val="center"/>
              <w:rPr>
                <w:b/>
                <w:lang w:val="sq-AL"/>
              </w:rPr>
            </w:pPr>
            <w:r w:rsidRPr="00EA1CA4">
              <w:rPr>
                <w:b/>
                <w:lang w:val="sq-AL"/>
              </w:rPr>
              <w:t>3</w:t>
            </w:r>
          </w:p>
        </w:tc>
      </w:tr>
    </w:tbl>
    <w:p w:rsidR="00232CCF" w:rsidRPr="00EA1CA4" w:rsidRDefault="00232CCF" w:rsidP="00624E04">
      <w:pPr>
        <w:spacing w:line="276" w:lineRule="auto"/>
        <w:jc w:val="both"/>
        <w:rPr>
          <w:b/>
        </w:rPr>
      </w:pPr>
    </w:p>
    <w:p w:rsidR="00254429" w:rsidRPr="00EA1CA4" w:rsidRDefault="002A0F9F" w:rsidP="00624E04">
      <w:pPr>
        <w:spacing w:line="276" w:lineRule="auto"/>
        <w:jc w:val="both"/>
      </w:pPr>
      <w:r w:rsidRPr="00EA1CA4">
        <w:rPr>
          <w:b/>
        </w:rPr>
        <w:t>Bashkë</w:t>
      </w:r>
      <w:r w:rsidR="0079717D" w:rsidRPr="00EA1CA4">
        <w:rPr>
          <w:b/>
        </w:rPr>
        <w:t>-</w:t>
      </w:r>
      <w:r w:rsidRPr="00EA1CA4">
        <w:rPr>
          <w:b/>
        </w:rPr>
        <w:t>infektim</w:t>
      </w:r>
      <w:r w:rsidR="0079717D" w:rsidRPr="00EA1CA4">
        <w:rPr>
          <w:b/>
        </w:rPr>
        <w:t xml:space="preserve">i </w:t>
      </w:r>
      <w:r w:rsidRPr="00EA1CA4">
        <w:rPr>
          <w:b/>
        </w:rPr>
        <w:t>TB/HIV</w:t>
      </w:r>
      <w:r w:rsidR="00254429" w:rsidRPr="00EA1CA4">
        <w:t xml:space="preserve">: </w:t>
      </w:r>
      <w:r w:rsidRPr="00EA1CA4">
        <w:t>Shkalla e bashkë-infek</w:t>
      </w:r>
      <w:r w:rsidR="0015211A" w:rsidRPr="00EA1CA4">
        <w:t xml:space="preserve">timit </w:t>
      </w:r>
      <w:r w:rsidRPr="00EA1CA4">
        <w:t>TB/HIV ka qenë e ulët</w:t>
      </w:r>
      <w:r w:rsidR="0015211A" w:rsidRPr="00EA1CA4">
        <w:t>,</w:t>
      </w:r>
      <w:r w:rsidRPr="00EA1CA4">
        <w:t xml:space="preserve"> që mund të jetë për shkak të prevalencës së ulët të HIV-it në vend (&lt;0.1% në mesin e popullatës së përgjithshme; dhe &lt;5% midis popullatave kryesore). Megjithatë, integrimi i shërbimeve për HIV dhe TB nuk ka qenë optimal. Kosova ka një udhëzim administrativ dhe protokoll klinik për testimin e HIV-it që të kryhet në të gjitha institucionet ku ofrohen shërbime për pacientët me </w:t>
      </w:r>
      <w:r w:rsidR="0015211A" w:rsidRPr="00EA1CA4">
        <w:t>TB</w:t>
      </w:r>
      <w:r w:rsidRPr="00EA1CA4">
        <w:t xml:space="preserve">; por pavarësisht se pacientëve me </w:t>
      </w:r>
      <w:r w:rsidR="0015211A" w:rsidRPr="00EA1CA4">
        <w:t>TB</w:t>
      </w:r>
      <w:r w:rsidRPr="00EA1CA4">
        <w:t xml:space="preserve"> nuk u është ofruar</w:t>
      </w:r>
      <w:r w:rsidR="0015211A" w:rsidRPr="00EA1CA4">
        <w:t xml:space="preserve">, nuk janë </w:t>
      </w:r>
      <w:r w:rsidRPr="00EA1CA4">
        <w:t xml:space="preserve">testuar në mënyrë rutinore për HIV. Çështja e shkallës së ulët të testimit për HIV tek pacientët me </w:t>
      </w:r>
      <w:r w:rsidR="0015211A" w:rsidRPr="00EA1CA4">
        <w:t>TB</w:t>
      </w:r>
      <w:r w:rsidRPr="00EA1CA4">
        <w:t xml:space="preserve"> është pranuar mirë: Në vitin 2018, vetëm 29.8% e të gjithë pacientëve të njoftuar me TB </w:t>
      </w:r>
      <w:r w:rsidR="0015211A" w:rsidRPr="00EA1CA4">
        <w:t xml:space="preserve">janë </w:t>
      </w:r>
      <w:r w:rsidRPr="00EA1CA4">
        <w:t>testuan për HIV</w:t>
      </w:r>
      <w:r w:rsidR="0015211A" w:rsidRPr="00EA1CA4">
        <w:t>,</w:t>
      </w:r>
      <w:r w:rsidRPr="00EA1CA4">
        <w:t xml:space="preserve"> që ishte shumë më poshtë objektivit të vendosur për vitin e caktuar</w:t>
      </w:r>
      <w:r w:rsidR="0015211A" w:rsidRPr="00EA1CA4">
        <w:t>, përkatësisht</w:t>
      </w:r>
      <w:r w:rsidRPr="00EA1CA4">
        <w:t xml:space="preserve"> -78%. Vetëm një rast i bashkë</w:t>
      </w:r>
      <w:r w:rsidR="00B1666B" w:rsidRPr="00EA1CA4">
        <w:t>-</w:t>
      </w:r>
      <w:r w:rsidRPr="00EA1CA4">
        <w:t xml:space="preserve">infektimit të TB/HIV </w:t>
      </w:r>
      <w:r w:rsidR="0015211A" w:rsidRPr="00EA1CA4">
        <w:t xml:space="preserve">është </w:t>
      </w:r>
      <w:r w:rsidRPr="00EA1CA4">
        <w:t>identifikua</w:t>
      </w:r>
      <w:r w:rsidR="0015211A" w:rsidRPr="00EA1CA4">
        <w:t>r</w:t>
      </w:r>
      <w:r w:rsidRPr="00EA1CA4">
        <w:t xml:space="preserve"> në vitin 2020. Ka </w:t>
      </w:r>
      <w:r w:rsidR="0015211A" w:rsidRPr="00EA1CA4">
        <w:t>gjasë</w:t>
      </w:r>
      <w:r w:rsidRPr="00EA1CA4">
        <w:t xml:space="preserve"> që shkalla historikisht e ulët e </w:t>
      </w:r>
      <w:r w:rsidR="00013AF1" w:rsidRPr="00EA1CA4">
        <w:t>bashkë</w:t>
      </w:r>
      <w:r w:rsidR="0015211A" w:rsidRPr="00EA1CA4">
        <w:t>-</w:t>
      </w:r>
      <w:r w:rsidR="00013AF1" w:rsidRPr="00EA1CA4">
        <w:t xml:space="preserve">infektimit TB/HIV </w:t>
      </w:r>
      <w:r w:rsidRPr="00EA1CA4">
        <w:t xml:space="preserve">(vetëm dy pacientë me TB </w:t>
      </w:r>
      <w:r w:rsidR="0015211A" w:rsidRPr="00EA1CA4">
        <w:t>janë</w:t>
      </w:r>
      <w:r w:rsidRPr="00EA1CA4">
        <w:t xml:space="preserve"> diagnostikua</w:t>
      </w:r>
      <w:r w:rsidR="0015211A" w:rsidRPr="00EA1CA4">
        <w:t>r</w:t>
      </w:r>
      <w:r w:rsidRPr="00EA1CA4">
        <w:t xml:space="preserve"> me HIV në 2016 dhe 2020), e ka tërhequr personelin mjekësor në një </w:t>
      </w:r>
      <w:r w:rsidR="00013AF1" w:rsidRPr="00EA1CA4">
        <w:t>ndjenjë</w:t>
      </w:r>
      <w:r w:rsidR="0015211A" w:rsidRPr="00EA1CA4">
        <w:t xml:space="preserve"> false</w:t>
      </w:r>
      <w:r w:rsidR="00013AF1" w:rsidRPr="00EA1CA4">
        <w:t xml:space="preserve"> të sigurisë</w:t>
      </w:r>
      <w:r w:rsidRPr="00EA1CA4">
        <w:t xml:space="preserve">. Një faktor tjetër mund të jetë stigma mbizotëruese </w:t>
      </w:r>
      <w:r w:rsidR="0015211A" w:rsidRPr="00EA1CA4">
        <w:t xml:space="preserve">ndaj </w:t>
      </w:r>
      <w:r w:rsidRPr="00EA1CA4">
        <w:t>HIV</w:t>
      </w:r>
      <w:r w:rsidR="0015211A" w:rsidRPr="00EA1CA4">
        <w:t>-it</w:t>
      </w:r>
      <w:r w:rsidRPr="00EA1CA4">
        <w:t xml:space="preserve"> në mesin e punonjësve të kujdesit shëndetësor</w:t>
      </w:r>
      <w:r w:rsidR="00254429" w:rsidRPr="00EA1CA4">
        <w:t>.</w:t>
      </w:r>
      <w:r w:rsidR="00BA7283" w:rsidRPr="00EA1CA4">
        <w:t xml:space="preserve"> </w:t>
      </w:r>
    </w:p>
    <w:p w:rsidR="00D0675E" w:rsidRPr="00EA1CA4" w:rsidRDefault="00D0675E" w:rsidP="00624E04">
      <w:pPr>
        <w:spacing w:line="276" w:lineRule="auto"/>
        <w:jc w:val="both"/>
        <w:rPr>
          <w:b/>
        </w:rPr>
      </w:pPr>
    </w:p>
    <w:p w:rsidR="00254429" w:rsidRPr="00EA1CA4" w:rsidRDefault="00013AF1" w:rsidP="00624E04">
      <w:pPr>
        <w:spacing w:line="276" w:lineRule="auto"/>
        <w:jc w:val="both"/>
      </w:pPr>
      <w:r w:rsidRPr="00EA1CA4">
        <w:rPr>
          <w:b/>
        </w:rPr>
        <w:t xml:space="preserve">Grupet prioritare për </w:t>
      </w:r>
      <w:r w:rsidR="007A0591" w:rsidRPr="00EA1CA4">
        <w:rPr>
          <w:b/>
        </w:rPr>
        <w:t>P</w:t>
      </w:r>
      <w:r w:rsidR="002A0F9F" w:rsidRPr="00EA1CA4">
        <w:rPr>
          <w:b/>
        </w:rPr>
        <w:t>V</w:t>
      </w:r>
      <w:r w:rsidR="007A0591" w:rsidRPr="00EA1CA4">
        <w:rPr>
          <w:b/>
        </w:rPr>
        <w:t xml:space="preserve"> të</w:t>
      </w:r>
      <w:r w:rsidR="006F4A00">
        <w:rPr>
          <w:b/>
        </w:rPr>
        <w:t xml:space="preserve"> </w:t>
      </w:r>
      <w:r w:rsidR="002A0F9F" w:rsidRPr="00EA1CA4">
        <w:rPr>
          <w:b/>
        </w:rPr>
        <w:t>TB</w:t>
      </w:r>
      <w:r w:rsidR="007A0591" w:rsidRPr="00EA1CA4">
        <w:rPr>
          <w:b/>
        </w:rPr>
        <w:t>-së</w:t>
      </w:r>
      <w:r w:rsidR="00254429" w:rsidRPr="00EA1CA4">
        <w:rPr>
          <w:b/>
        </w:rPr>
        <w:t xml:space="preserve">: </w:t>
      </w:r>
      <w:r w:rsidR="002A0F9F" w:rsidRPr="00EA1CA4">
        <w:t>Grupe</w:t>
      </w:r>
      <w:r w:rsidR="00A415B8" w:rsidRPr="00EA1CA4">
        <w:t xml:space="preserve">ve </w:t>
      </w:r>
      <w:r w:rsidR="002A0F9F" w:rsidRPr="00EA1CA4">
        <w:t>t</w:t>
      </w:r>
      <w:r w:rsidR="00A415B8" w:rsidRPr="00EA1CA4">
        <w:t>ë</w:t>
      </w:r>
      <w:r w:rsidR="002A0F9F" w:rsidRPr="00EA1CA4">
        <w:t xml:space="preserve"> mëposhtme të popullsisë </w:t>
      </w:r>
      <w:r w:rsidR="00A415B8" w:rsidRPr="00EA1CA4">
        <w:t xml:space="preserve">i është dhënë prioritet </w:t>
      </w:r>
      <w:r w:rsidR="002A0F9F" w:rsidRPr="00EA1CA4">
        <w:t>n</w:t>
      </w:r>
      <w:r w:rsidR="00A415B8" w:rsidRPr="00EA1CA4">
        <w:t>ë</w:t>
      </w:r>
      <w:r w:rsidR="002A0F9F" w:rsidRPr="00EA1CA4">
        <w:t xml:space="preserve"> Plani</w:t>
      </w:r>
      <w:r w:rsidR="00A415B8" w:rsidRPr="00EA1CA4">
        <w:t>n</w:t>
      </w:r>
      <w:r w:rsidR="002A0F9F" w:rsidRPr="00EA1CA4">
        <w:t xml:space="preserve"> Kombëtar </w:t>
      </w:r>
      <w:r w:rsidR="00A415B8" w:rsidRPr="00EA1CA4">
        <w:t>të</w:t>
      </w:r>
      <w:r w:rsidR="002A0F9F" w:rsidRPr="00EA1CA4">
        <w:t xml:space="preserve"> Veprimit </w:t>
      </w:r>
      <w:r w:rsidR="00A415B8" w:rsidRPr="00EA1CA4">
        <w:t>kundër</w:t>
      </w:r>
      <w:r w:rsidR="002A0F9F" w:rsidRPr="00EA1CA4">
        <w:t xml:space="preserve"> TB</w:t>
      </w:r>
      <w:r w:rsidR="00A415B8" w:rsidRPr="00EA1CA4">
        <w:t>-së</w:t>
      </w:r>
      <w:r w:rsidR="002A0F9F" w:rsidRPr="00EA1CA4">
        <w:t>: Pacientë</w:t>
      </w:r>
      <w:r w:rsidR="00A415B8" w:rsidRPr="00EA1CA4">
        <w:t xml:space="preserve">ve </w:t>
      </w:r>
      <w:r w:rsidR="002A0F9F" w:rsidRPr="00EA1CA4">
        <w:t>me TB; të burgosur</w:t>
      </w:r>
      <w:r w:rsidR="00A415B8" w:rsidRPr="00EA1CA4">
        <w:t>ve</w:t>
      </w:r>
      <w:r w:rsidR="002A0F9F" w:rsidRPr="00EA1CA4">
        <w:t>; kontakte</w:t>
      </w:r>
      <w:r w:rsidR="00A415B8" w:rsidRPr="00EA1CA4">
        <w:t xml:space="preserve">ve </w:t>
      </w:r>
      <w:r w:rsidR="002A0F9F" w:rsidRPr="00EA1CA4">
        <w:t>t</w:t>
      </w:r>
      <w:r w:rsidR="00A415B8" w:rsidRPr="00EA1CA4">
        <w:t>ë</w:t>
      </w:r>
      <w:r w:rsidR="002A0F9F" w:rsidRPr="00EA1CA4">
        <w:t xml:space="preserve"> njerëzve me TB, duke përfs</w:t>
      </w:r>
      <w:r w:rsidRPr="00EA1CA4">
        <w:t xml:space="preserve">hirë ata të diagnostikuar me </w:t>
      </w:r>
      <w:r w:rsidR="00A415B8" w:rsidRPr="00EA1CA4">
        <w:t>MDR-TB;</w:t>
      </w:r>
      <w:r w:rsidR="002A0F9F" w:rsidRPr="00EA1CA4">
        <w:t xml:space="preserve"> popullata</w:t>
      </w:r>
      <w:r w:rsidR="00A415B8" w:rsidRPr="00EA1CA4">
        <w:t xml:space="preserve">ve </w:t>
      </w:r>
      <w:r w:rsidR="002A0F9F" w:rsidRPr="00EA1CA4">
        <w:t xml:space="preserve">në komunat me barrë të lartë </w:t>
      </w:r>
      <w:r w:rsidR="00A415B8" w:rsidRPr="00EA1CA4">
        <w:t xml:space="preserve">të </w:t>
      </w:r>
      <w:r w:rsidR="002A0F9F" w:rsidRPr="00EA1CA4">
        <w:t>TB</w:t>
      </w:r>
      <w:r w:rsidR="00A415B8" w:rsidRPr="00EA1CA4">
        <w:t>-së</w:t>
      </w:r>
      <w:r w:rsidR="002A0F9F" w:rsidRPr="00EA1CA4">
        <w:t>; njerëz</w:t>
      </w:r>
      <w:r w:rsidR="00A415B8" w:rsidRPr="00EA1CA4">
        <w:t xml:space="preserve">ve </w:t>
      </w:r>
      <w:r w:rsidR="002A0F9F" w:rsidRPr="00EA1CA4">
        <w:t>që jetojnë në varfëri; f</w:t>
      </w:r>
      <w:r w:rsidR="00A415B8" w:rsidRPr="00EA1CA4">
        <w:t>ë</w:t>
      </w:r>
      <w:r w:rsidR="002A0F9F" w:rsidRPr="00EA1CA4">
        <w:t>mij</w:t>
      </w:r>
      <w:r w:rsidR="00A415B8" w:rsidRPr="00EA1CA4">
        <w:t>ëve</w:t>
      </w:r>
      <w:r w:rsidR="002A0F9F" w:rsidRPr="00EA1CA4">
        <w:t>; persona</w:t>
      </w:r>
      <w:r w:rsidR="00A415B8" w:rsidRPr="00EA1CA4">
        <w:t xml:space="preserve">ve </w:t>
      </w:r>
      <w:r w:rsidR="002A0F9F" w:rsidRPr="00EA1CA4">
        <w:t>që jetojnë me HIV (PJHIV); dhe punonjës</w:t>
      </w:r>
      <w:r w:rsidR="00A415B8" w:rsidRPr="00EA1CA4">
        <w:t>ve të</w:t>
      </w:r>
      <w:r w:rsidR="002A0F9F" w:rsidRPr="00EA1CA4">
        <w:t xml:space="preserve"> kujdesit shëndetësor për </w:t>
      </w:r>
      <w:r w:rsidR="00A415B8" w:rsidRPr="00EA1CA4">
        <w:t>TB</w:t>
      </w:r>
      <w:r w:rsidR="002A0F9F" w:rsidRPr="00EA1CA4">
        <w:t xml:space="preserve">. Grupet e </w:t>
      </w:r>
      <w:r w:rsidR="00A415B8" w:rsidRPr="00EA1CA4">
        <w:t xml:space="preserve">popullsisë të </w:t>
      </w:r>
      <w:r w:rsidR="002A0F9F" w:rsidRPr="00EA1CA4">
        <w:t xml:space="preserve">cenuara </w:t>
      </w:r>
      <w:r w:rsidR="00A415B8" w:rsidRPr="00EA1CA4">
        <w:t>nga TB</w:t>
      </w:r>
      <w:r w:rsidR="002A0F9F" w:rsidRPr="00EA1CA4">
        <w:t xml:space="preserve"> përfshijnë minoritetet, veçanërisht p</w:t>
      </w:r>
      <w:r w:rsidRPr="00EA1CA4">
        <w:t>opull</w:t>
      </w:r>
      <w:r w:rsidR="00A415B8" w:rsidRPr="00EA1CA4">
        <w:t>atat R</w:t>
      </w:r>
      <w:r w:rsidRPr="00EA1CA4">
        <w:t xml:space="preserve">ome dhe </w:t>
      </w:r>
      <w:r w:rsidR="00A415B8" w:rsidRPr="00EA1CA4">
        <w:t>E</w:t>
      </w:r>
      <w:r w:rsidRPr="00EA1CA4">
        <w:t>gjiptiane; p</w:t>
      </w:r>
      <w:r w:rsidR="002A0F9F" w:rsidRPr="00EA1CA4">
        <w:t>ërdoruesit e drogës dhe alkoolit; njerëz</w:t>
      </w:r>
      <w:r w:rsidR="00A415B8" w:rsidRPr="00EA1CA4">
        <w:t xml:space="preserve">it e </w:t>
      </w:r>
      <w:r w:rsidR="002A0F9F" w:rsidRPr="00EA1CA4">
        <w:t xml:space="preserve">varfër, të </w:t>
      </w:r>
      <w:r w:rsidR="00A415B8" w:rsidRPr="00EA1CA4">
        <w:t>keq-</w:t>
      </w:r>
      <w:r w:rsidR="002A0F9F" w:rsidRPr="00EA1CA4">
        <w:t>ushqyer</w:t>
      </w:r>
      <w:r w:rsidRPr="00EA1CA4">
        <w:t>it</w:t>
      </w:r>
      <w:r w:rsidR="002A0F9F" w:rsidRPr="00EA1CA4">
        <w:t xml:space="preserve"> dhe/ose të pastrehë</w:t>
      </w:r>
      <w:r w:rsidR="00A415B8" w:rsidRPr="00EA1CA4">
        <w:t>t</w:t>
      </w:r>
      <w:r w:rsidR="002A0F9F" w:rsidRPr="00EA1CA4">
        <w:t>; dhe pacientët me sëmundje kronike dhe/ose të institucionalizuar në institucionet e kujdesit kronik</w:t>
      </w:r>
      <w:r w:rsidR="00254429" w:rsidRPr="00EA1CA4">
        <w:t xml:space="preserve">. </w:t>
      </w:r>
    </w:p>
    <w:p w:rsidR="00254429" w:rsidRPr="00EA1CA4" w:rsidRDefault="00F84F31" w:rsidP="00624E04">
      <w:pPr>
        <w:spacing w:line="276" w:lineRule="auto"/>
        <w:jc w:val="both"/>
      </w:pPr>
      <w:r w:rsidRPr="00EA1CA4">
        <w:lastRenderedPageBreak/>
        <w:t>Në vitin 2019</w:t>
      </w:r>
      <w:r w:rsidR="001B0CEA" w:rsidRPr="00EA1CA4">
        <w:t>,</w:t>
      </w:r>
      <w:r w:rsidRPr="00EA1CA4">
        <w:t xml:space="preserve"> </w:t>
      </w:r>
      <w:r w:rsidR="001B0CEA" w:rsidRPr="00EA1CA4">
        <w:t xml:space="preserve">në sistemin penitenciar </w:t>
      </w:r>
      <w:r w:rsidRPr="00EA1CA4">
        <w:t xml:space="preserve">ka </w:t>
      </w:r>
      <w:r w:rsidR="001B0CEA" w:rsidRPr="00EA1CA4">
        <w:t xml:space="preserve">qenë </w:t>
      </w:r>
      <w:r w:rsidRPr="00EA1CA4">
        <w:t xml:space="preserve">vetëm 1 rast </w:t>
      </w:r>
      <w:r w:rsidR="001B0CEA" w:rsidRPr="00EA1CA4">
        <w:t xml:space="preserve">të detektuar me </w:t>
      </w:r>
      <w:r w:rsidRPr="00EA1CA4">
        <w:t>TB</w:t>
      </w:r>
      <w:r w:rsidR="001B0CEA" w:rsidRPr="00EA1CA4">
        <w:t>,</w:t>
      </w:r>
      <w:r w:rsidRPr="00EA1CA4">
        <w:t xml:space="preserve"> duke bërë që incidenca e TB</w:t>
      </w:r>
      <w:r w:rsidR="001B0CEA" w:rsidRPr="00EA1CA4">
        <w:t>-së</w:t>
      </w:r>
      <w:r w:rsidRPr="00EA1CA4">
        <w:t xml:space="preserve"> në </w:t>
      </w:r>
      <w:r w:rsidR="001B0CEA" w:rsidRPr="00EA1CA4">
        <w:t xml:space="preserve">mesin e </w:t>
      </w:r>
      <w:r w:rsidRPr="00EA1CA4">
        <w:t>popullatë</w:t>
      </w:r>
      <w:r w:rsidR="001B0CEA" w:rsidRPr="00EA1CA4">
        <w:t>s</w:t>
      </w:r>
      <w:r w:rsidRPr="00EA1CA4">
        <w:t xml:space="preserve"> </w:t>
      </w:r>
      <w:r w:rsidR="001B0CEA" w:rsidRPr="00EA1CA4">
        <w:t>së</w:t>
      </w:r>
      <w:r w:rsidRPr="00EA1CA4">
        <w:t xml:space="preserve"> burgjeve </w:t>
      </w:r>
      <w:r w:rsidR="001B0CEA" w:rsidRPr="00EA1CA4">
        <w:t>të jetë</w:t>
      </w:r>
      <w:r w:rsidRPr="00EA1CA4">
        <w:t xml:space="preserve"> 83</w:t>
      </w:r>
      <w:r w:rsidR="001B0CEA" w:rsidRPr="00EA1CA4">
        <w:t>/</w:t>
      </w:r>
      <w:r w:rsidRPr="00EA1CA4">
        <w:t>100,000</w:t>
      </w:r>
      <w:r w:rsidR="001B0CEA" w:rsidRPr="00EA1CA4">
        <w:t xml:space="preserve"> banorë</w:t>
      </w:r>
      <w:r w:rsidRPr="00EA1CA4">
        <w:t>. Kjo është dy herë më e lartë se për popullatën e përgjithshme</w:t>
      </w:r>
      <w:r w:rsidR="00254429" w:rsidRPr="00EA1CA4">
        <w:t xml:space="preserve">.  </w:t>
      </w:r>
    </w:p>
    <w:p w:rsidR="00254429" w:rsidRPr="00EA1CA4" w:rsidRDefault="00F84F31" w:rsidP="00624E04">
      <w:pPr>
        <w:spacing w:line="276" w:lineRule="auto"/>
        <w:jc w:val="both"/>
      </w:pPr>
      <w:r w:rsidRPr="00EA1CA4">
        <w:t>Aktualisht, 50.4% e të sëmurëve me TB jetojnë në zonat urbane, ndërsa 49.6% jetojnë në zonat rurale. Të dhënat e njoftimit për TB</w:t>
      </w:r>
      <w:r w:rsidR="00AD54B5" w:rsidRPr="00EA1CA4">
        <w:t>,</w:t>
      </w:r>
      <w:r w:rsidRPr="00EA1CA4">
        <w:t xml:space="preserve"> të ndara sipas komunave tregojnë se rreth 10 komuna kanë një normë më të lartë (mbi 60</w:t>
      </w:r>
      <w:r w:rsidR="00AD54B5" w:rsidRPr="00EA1CA4">
        <w:t>/</w:t>
      </w:r>
      <w:r w:rsidRPr="00EA1CA4">
        <w:t>100,000</w:t>
      </w:r>
      <w:r w:rsidR="00AD54B5" w:rsidRPr="00EA1CA4">
        <w:t xml:space="preserve"> banorë</w:t>
      </w:r>
      <w:r w:rsidRPr="00EA1CA4">
        <w:t>) sesa popull</w:t>
      </w:r>
      <w:r w:rsidR="00AD54B5" w:rsidRPr="00EA1CA4">
        <w:t xml:space="preserve">ata e </w:t>
      </w:r>
      <w:r w:rsidRPr="00EA1CA4">
        <w:t>përgjithshme. Incidenca e TB</w:t>
      </w:r>
      <w:r w:rsidR="00AD54B5" w:rsidRPr="00EA1CA4">
        <w:t>-së</w:t>
      </w:r>
      <w:r w:rsidRPr="00EA1CA4">
        <w:t xml:space="preserve"> në mesin e popullatës </w:t>
      </w:r>
      <w:r w:rsidR="00AD54B5" w:rsidRPr="00EA1CA4">
        <w:t>R</w:t>
      </w:r>
      <w:r w:rsidRPr="00EA1CA4">
        <w:t xml:space="preserve">ome, </w:t>
      </w:r>
      <w:r w:rsidR="00AD54B5" w:rsidRPr="00EA1CA4">
        <w:t>E</w:t>
      </w:r>
      <w:r w:rsidRPr="00EA1CA4">
        <w:t xml:space="preserve">gjiptiane dhe </w:t>
      </w:r>
      <w:r w:rsidR="00AD54B5" w:rsidRPr="00EA1CA4">
        <w:t>A</w:t>
      </w:r>
      <w:r w:rsidRPr="00EA1CA4">
        <w:t xml:space="preserve">shkali (RAE) mbetet e lartë </w:t>
      </w:r>
      <w:r w:rsidR="00AD54B5" w:rsidRPr="00EA1CA4">
        <w:t>me rreth</w:t>
      </w:r>
      <w:r w:rsidRPr="00EA1CA4">
        <w:t xml:space="preserve"> 33</w:t>
      </w:r>
      <w:r w:rsidR="00AD54B5" w:rsidRPr="00EA1CA4">
        <w:t>/</w:t>
      </w:r>
      <w:r w:rsidRPr="00EA1CA4">
        <w:t>100,000</w:t>
      </w:r>
      <w:r w:rsidR="00AD54B5" w:rsidRPr="00EA1CA4">
        <w:t xml:space="preserve"> banorë</w:t>
      </w:r>
      <w:r w:rsidR="00254429" w:rsidRPr="00EA1CA4">
        <w:t>.</w:t>
      </w:r>
      <w:r w:rsidR="00D75ED6">
        <w:fldChar w:fldCharType="begin"/>
      </w:r>
      <w:r w:rsidR="00D75ED6">
        <w:instrText xml:space="preserve"> NOTEREF _Ref82959645 \f \h  \* MERGEFORMAT </w:instrText>
      </w:r>
      <w:r w:rsidR="00D75ED6">
        <w:fldChar w:fldCharType="separate"/>
      </w:r>
      <w:r w:rsidR="00DD5916" w:rsidRPr="00EA1CA4">
        <w:rPr>
          <w:rStyle w:val="FootnoteReference"/>
        </w:rPr>
        <w:t>12</w:t>
      </w:r>
      <w:r w:rsidR="00D75ED6">
        <w:fldChar w:fldCharType="end"/>
      </w:r>
      <w:r w:rsidRPr="00EA1CA4">
        <w:t xml:space="preserve">Aktivitetet e </w:t>
      </w:r>
      <w:r w:rsidR="00AD54B5" w:rsidRPr="00EA1CA4">
        <w:t>TB-së</w:t>
      </w:r>
      <w:r w:rsidRPr="00EA1CA4">
        <w:t xml:space="preserve"> duhet të fokusohen kryesisht në komunat me </w:t>
      </w:r>
      <w:r w:rsidR="00AD54B5" w:rsidRPr="00EA1CA4">
        <w:t xml:space="preserve">barrë </w:t>
      </w:r>
      <w:r w:rsidRPr="00EA1CA4">
        <w:t>të lartë, megjithëse palët e interesuara besojnë se në secilën komunë qasja në shërbimin diagnostikues të TB mund të ndryshojë, gjë që nga ana tjetër mund të rezultojë në zbulimin e ulët të TB</w:t>
      </w:r>
      <w:r w:rsidR="00AD54B5" w:rsidRPr="00EA1CA4">
        <w:t>-së</w:t>
      </w:r>
      <w:r w:rsidRPr="00EA1CA4">
        <w:t xml:space="preserve">. Kështu, </w:t>
      </w:r>
      <w:r w:rsidR="00AD54B5" w:rsidRPr="00EA1CA4">
        <w:t xml:space="preserve">në të gjitha komunat është i nevojshëm </w:t>
      </w:r>
      <w:r w:rsidRPr="00EA1CA4">
        <w:t>vlerësimi i mëtejshëm i faktorëve që ndikojnë në qasjen në shërbimet e TB</w:t>
      </w:r>
      <w:r w:rsidR="00AD54B5" w:rsidRPr="00EA1CA4">
        <w:t>-së</w:t>
      </w:r>
      <w:r w:rsidR="00254429" w:rsidRPr="00EA1CA4">
        <w:t xml:space="preserve">. </w:t>
      </w:r>
    </w:p>
    <w:p w:rsidR="00254429" w:rsidRPr="00EA1CA4" w:rsidRDefault="00F84F31" w:rsidP="00624E04">
      <w:pPr>
        <w:spacing w:line="276" w:lineRule="auto"/>
        <w:jc w:val="both"/>
        <w:rPr>
          <w:color w:val="000000"/>
        </w:rPr>
      </w:pPr>
      <w:r w:rsidRPr="00EA1CA4">
        <w:rPr>
          <w:color w:val="000000"/>
        </w:rPr>
        <w:t>Megjithatë, gjatë viteve të fundit</w:t>
      </w:r>
      <w:r w:rsidR="00AD54B5" w:rsidRPr="00EA1CA4">
        <w:rPr>
          <w:color w:val="000000"/>
        </w:rPr>
        <w:t>,</w:t>
      </w:r>
      <w:r w:rsidRPr="00EA1CA4">
        <w:rPr>
          <w:color w:val="000000"/>
        </w:rPr>
        <w:t xml:space="preserve"> Kosova ka </w:t>
      </w:r>
      <w:r w:rsidR="00AD54B5" w:rsidRPr="00EA1CA4">
        <w:rPr>
          <w:color w:val="000000"/>
        </w:rPr>
        <w:t xml:space="preserve">shënuar </w:t>
      </w:r>
      <w:r w:rsidRPr="00EA1CA4">
        <w:rPr>
          <w:color w:val="000000"/>
        </w:rPr>
        <w:t>përparim të dukshëm në reduktimin e njoftimit për TB</w:t>
      </w:r>
      <w:r w:rsidR="00AD54B5" w:rsidRPr="00EA1CA4">
        <w:rPr>
          <w:color w:val="000000"/>
        </w:rPr>
        <w:t>-në</w:t>
      </w:r>
      <w:r w:rsidRPr="00EA1CA4">
        <w:rPr>
          <w:color w:val="000000"/>
        </w:rPr>
        <w:t xml:space="preserve"> dhe kontrollin e përhapjes së TB</w:t>
      </w:r>
      <w:r w:rsidR="00AD54B5" w:rsidRPr="00EA1CA4">
        <w:rPr>
          <w:color w:val="000000"/>
        </w:rPr>
        <w:t>-së</w:t>
      </w:r>
      <w:r w:rsidRPr="00EA1CA4">
        <w:rPr>
          <w:color w:val="000000"/>
        </w:rPr>
        <w:t xml:space="preserve"> në popullatën e përgjithshme, megjithatë, duhet bërë </w:t>
      </w:r>
      <w:r w:rsidR="00AD54B5" w:rsidRPr="00EA1CA4">
        <w:rPr>
          <w:color w:val="000000"/>
        </w:rPr>
        <w:t xml:space="preserve">akoma </w:t>
      </w:r>
      <w:r w:rsidRPr="00EA1CA4">
        <w:rPr>
          <w:color w:val="000000"/>
        </w:rPr>
        <w:t>shumë për t'i dhënë fund sëmundjes deri në vitin 2030.</w:t>
      </w:r>
    </w:p>
    <w:p w:rsidR="008F0C51" w:rsidRPr="00EA1CA4" w:rsidRDefault="008F0C51" w:rsidP="00624E04">
      <w:pPr>
        <w:spacing w:line="276" w:lineRule="auto"/>
        <w:jc w:val="both"/>
        <w:rPr>
          <w:b/>
        </w:rPr>
      </w:pPr>
      <w:bookmarkStart w:id="16" w:name="_Toc93005239"/>
    </w:p>
    <w:p w:rsidR="001043A6" w:rsidRPr="00EA1CA4" w:rsidRDefault="00F84F31" w:rsidP="00624E04">
      <w:pPr>
        <w:spacing w:line="276" w:lineRule="auto"/>
        <w:jc w:val="both"/>
      </w:pPr>
      <w:r w:rsidRPr="00EA1CA4">
        <w:rPr>
          <w:b/>
        </w:rPr>
        <w:t>Ndikimi i Covid-19 në programin kombëtar</w:t>
      </w:r>
      <w:r w:rsidR="007A0591" w:rsidRPr="00EA1CA4">
        <w:rPr>
          <w:b/>
        </w:rPr>
        <w:t xml:space="preserve">  </w:t>
      </w:r>
      <w:r w:rsidRPr="00EA1CA4">
        <w:rPr>
          <w:b/>
        </w:rPr>
        <w:t>të TB</w:t>
      </w:r>
      <w:bookmarkEnd w:id="16"/>
      <w:r w:rsidR="001D1325" w:rsidRPr="00EA1CA4">
        <w:rPr>
          <w:b/>
        </w:rPr>
        <w:t>-së</w:t>
      </w:r>
      <w:r w:rsidR="001043A6" w:rsidRPr="00EA1CA4">
        <w:rPr>
          <w:b/>
        </w:rPr>
        <w:t xml:space="preserve">: </w:t>
      </w:r>
      <w:r w:rsidRPr="00EA1CA4">
        <w:t>Pas shfaqjes së pandemisë COVID-19, Qeveria e Kosovës ka zbatuar masat për parandalimin dhe kontrollin e infek</w:t>
      </w:r>
      <w:r w:rsidR="001D1325" w:rsidRPr="00EA1CA4">
        <w:t xml:space="preserve">timit nga </w:t>
      </w:r>
      <w:r w:rsidRPr="00EA1CA4">
        <w:t>C</w:t>
      </w:r>
      <w:r w:rsidR="001D1325" w:rsidRPr="00EA1CA4">
        <w:t>OVID-</w:t>
      </w:r>
      <w:r w:rsidRPr="00EA1CA4">
        <w:t>19</w:t>
      </w:r>
      <w:r w:rsidR="001D1325" w:rsidRPr="00EA1CA4">
        <w:t>,</w:t>
      </w:r>
      <w:r w:rsidRPr="00EA1CA4">
        <w:t xml:space="preserve"> </w:t>
      </w:r>
      <w:r w:rsidR="001D1325" w:rsidRPr="00EA1CA4">
        <w:t xml:space="preserve">si </w:t>
      </w:r>
      <w:r w:rsidRPr="00EA1CA4">
        <w:t>dhe ka ridrejtuar burimet shëndetësore</w:t>
      </w:r>
      <w:r w:rsidR="001D1325" w:rsidRPr="00EA1CA4">
        <w:t>,</w:t>
      </w:r>
      <w:r w:rsidRPr="00EA1CA4">
        <w:t xml:space="preserve"> që kanë rezultuar në kufizimin e qasjes në shërbimet e tjera të kujdesit shëndetësor, përfshirë ato për TB</w:t>
      </w:r>
      <w:r w:rsidR="001043A6" w:rsidRPr="00EA1CA4">
        <w:t>.</w:t>
      </w:r>
      <w:r w:rsidR="001043A6" w:rsidRPr="00EA1CA4">
        <w:rPr>
          <w:rStyle w:val="FootnoteReference"/>
        </w:rPr>
        <w:footnoteReference w:id="13"/>
      </w:r>
      <w:r w:rsidR="001D1325" w:rsidRPr="00EA1CA4">
        <w:t xml:space="preserve"> </w:t>
      </w:r>
      <w:r w:rsidRPr="00EA1CA4">
        <w:t xml:space="preserve">Më 16 mars 2020, MSH </w:t>
      </w:r>
      <w:r w:rsidR="001D1325" w:rsidRPr="00EA1CA4">
        <w:t xml:space="preserve">ka </w:t>
      </w:r>
      <w:r w:rsidRPr="00EA1CA4">
        <w:t>lësh</w:t>
      </w:r>
      <w:r w:rsidR="001D1325" w:rsidRPr="00EA1CA4">
        <w:t xml:space="preserve">uar </w:t>
      </w:r>
      <w:r w:rsidRPr="00EA1CA4">
        <w:t>një qarkore informative për pezullimin e të gjitha shërbimeve shëndetësore efektive</w:t>
      </w:r>
      <w:r w:rsidR="001D1325" w:rsidRPr="00EA1CA4">
        <w:t>,</w:t>
      </w:r>
      <w:r w:rsidRPr="00EA1CA4">
        <w:t xml:space="preserve"> dhe të gjitha institucionet shëndetësore publike dhe private </w:t>
      </w:r>
      <w:r w:rsidR="001D1325" w:rsidRPr="00EA1CA4">
        <w:t>janë</w:t>
      </w:r>
      <w:r w:rsidRPr="00EA1CA4">
        <w:t xml:space="preserve"> detyrua</w:t>
      </w:r>
      <w:r w:rsidR="001D1325" w:rsidRPr="00EA1CA4">
        <w:t>r</w:t>
      </w:r>
      <w:r w:rsidRPr="00EA1CA4">
        <w:t xml:space="preserve"> të ri</w:t>
      </w:r>
      <w:r w:rsidR="001D1325" w:rsidRPr="00EA1CA4">
        <w:t>-</w:t>
      </w:r>
      <w:r w:rsidRPr="00EA1CA4">
        <w:t xml:space="preserve">alokojnë burimet e tyre (njerëzore, financiare dhe fizike) për të parandaluar dhe minimizuar ndikimin e </w:t>
      </w:r>
      <w:r w:rsidR="001D1325" w:rsidRPr="00EA1CA4">
        <w:t xml:space="preserve">pandemisë së </w:t>
      </w:r>
      <w:r w:rsidRPr="00EA1CA4">
        <w:t xml:space="preserve">COVID-19, nëse dhe </w:t>
      </w:r>
      <w:r w:rsidR="001D1325" w:rsidRPr="00EA1CA4">
        <w:t>kur ka qenë e nevojshme</w:t>
      </w:r>
      <w:r w:rsidRPr="00EA1CA4">
        <w:t xml:space="preserve">. Në këtë kontekst, të gjithë </w:t>
      </w:r>
      <w:r w:rsidR="001D1325" w:rsidRPr="00EA1CA4">
        <w:t xml:space="preserve">Klinikat </w:t>
      </w:r>
      <w:r w:rsidRPr="00EA1CA4">
        <w:t>Emergjen</w:t>
      </w:r>
      <w:r w:rsidR="001D1325" w:rsidRPr="00EA1CA4">
        <w:t>te</w:t>
      </w:r>
      <w:r w:rsidRPr="00EA1CA4">
        <w:t>, Klinika</w:t>
      </w:r>
      <w:r w:rsidR="001D1325" w:rsidRPr="00EA1CA4">
        <w:t>t</w:t>
      </w:r>
      <w:r w:rsidRPr="00EA1CA4">
        <w:t xml:space="preserve"> </w:t>
      </w:r>
      <w:r w:rsidR="001D1325" w:rsidRPr="00EA1CA4">
        <w:t>e</w:t>
      </w:r>
      <w:r w:rsidRPr="00EA1CA4">
        <w:t xml:space="preserve"> Sëmundjeve </w:t>
      </w:r>
      <w:r w:rsidR="00222148" w:rsidRPr="00EA1CA4">
        <w:t>Ngjitëse</w:t>
      </w:r>
      <w:r w:rsidRPr="00EA1CA4">
        <w:t>, Klinika</w:t>
      </w:r>
      <w:r w:rsidR="001D1325" w:rsidRPr="00EA1CA4">
        <w:t>t</w:t>
      </w:r>
      <w:r w:rsidRPr="00EA1CA4">
        <w:t xml:space="preserve"> e Sëmundjeve të Mushkërive, repartet e ICU në Qendrën Klinike Universitare të Kosovës dhe të gjitha re</w:t>
      </w:r>
      <w:r w:rsidR="001D1325" w:rsidRPr="00EA1CA4">
        <w:t xml:space="preserve">partet përkatëse të sëmundjeve </w:t>
      </w:r>
      <w:r w:rsidR="00222148" w:rsidRPr="00EA1CA4">
        <w:t>ngjitëse</w:t>
      </w:r>
      <w:r w:rsidRPr="00EA1CA4">
        <w:t xml:space="preserve"> dhe </w:t>
      </w:r>
      <w:r w:rsidR="00222148" w:rsidRPr="00EA1CA4">
        <w:lastRenderedPageBreak/>
        <w:t>p</w:t>
      </w:r>
      <w:r w:rsidR="001D1325" w:rsidRPr="00EA1CA4">
        <w:t>ulmonologjisë</w:t>
      </w:r>
      <w:r w:rsidRPr="00EA1CA4">
        <w:t xml:space="preserve"> në Spitalet Rajonale, sipas nevojës</w:t>
      </w:r>
      <w:r w:rsidR="001D1325" w:rsidRPr="00EA1CA4">
        <w:t>,</w:t>
      </w:r>
      <w:r w:rsidRPr="00EA1CA4">
        <w:t xml:space="preserve"> </w:t>
      </w:r>
      <w:r w:rsidR="001D1325" w:rsidRPr="00EA1CA4">
        <w:t xml:space="preserve">është dashur </w:t>
      </w:r>
      <w:r w:rsidRPr="00EA1CA4">
        <w:t>të shndërrohe</w:t>
      </w:r>
      <w:r w:rsidR="001D1325" w:rsidRPr="00EA1CA4">
        <w:t>n</w:t>
      </w:r>
      <w:r w:rsidRPr="00EA1CA4">
        <w:t xml:space="preserve"> në qendra </w:t>
      </w:r>
      <w:r w:rsidR="001D1325" w:rsidRPr="00EA1CA4">
        <w:t xml:space="preserve">për </w:t>
      </w:r>
      <w:r w:rsidRPr="00EA1CA4">
        <w:t>trajtimi</w:t>
      </w:r>
      <w:r w:rsidR="001D1325" w:rsidRPr="00EA1CA4">
        <w:t xml:space="preserve">n e rasteve me </w:t>
      </w:r>
      <w:r w:rsidRPr="00EA1CA4">
        <w:t>COVID</w:t>
      </w:r>
      <w:r w:rsidR="001D1325" w:rsidRPr="00EA1CA4">
        <w:t>-</w:t>
      </w:r>
      <w:r w:rsidRPr="00EA1CA4">
        <w:t>19</w:t>
      </w:r>
      <w:r w:rsidR="001043A6" w:rsidRPr="00EA1CA4">
        <w:t xml:space="preserve">. </w:t>
      </w:r>
    </w:p>
    <w:p w:rsidR="001043A6" w:rsidRPr="00EA1CA4" w:rsidRDefault="00F84F31" w:rsidP="00624E04">
      <w:pPr>
        <w:pStyle w:val="Default"/>
        <w:spacing w:line="276" w:lineRule="auto"/>
        <w:jc w:val="both"/>
        <w:rPr>
          <w:rFonts w:ascii="Times New Roman" w:hAnsi="Times New Roman" w:cs="Times New Roman"/>
          <w:color w:val="auto"/>
          <w:lang w:val="sq-AL"/>
        </w:rPr>
      </w:pPr>
      <w:r w:rsidRPr="00EA1CA4">
        <w:rPr>
          <w:rFonts w:ascii="Times New Roman" w:hAnsi="Times New Roman" w:cs="Times New Roman"/>
          <w:color w:val="auto"/>
          <w:lang w:val="sq-AL"/>
        </w:rPr>
        <w:t>Për shkak të masave të vendosura për COVID-19 nga Qeveria e Kosovës</w:t>
      </w:r>
      <w:r w:rsidR="00302980" w:rsidRPr="00EA1CA4">
        <w:rPr>
          <w:rFonts w:ascii="Times New Roman" w:hAnsi="Times New Roman" w:cs="Times New Roman"/>
          <w:color w:val="auto"/>
          <w:lang w:val="sq-AL"/>
        </w:rPr>
        <w:t>,</w:t>
      </w:r>
      <w:r w:rsidRPr="00EA1CA4">
        <w:rPr>
          <w:rFonts w:ascii="Times New Roman" w:hAnsi="Times New Roman" w:cs="Times New Roman"/>
          <w:color w:val="auto"/>
          <w:lang w:val="sq-AL"/>
        </w:rPr>
        <w:t xml:space="preserve"> dhe Ministria e Shëndetësisë në veçanti, gjatë valëve të pandemisë, të gjitha objektet shëndetësore publike që ofrojnë shërbime spitalore dhe ambulatore për pacientët me sëmundje të mushkërive dhe TB janë shndërruar në shërbime </w:t>
      </w:r>
      <w:r w:rsidR="00013AF1" w:rsidRPr="00EA1CA4">
        <w:rPr>
          <w:rFonts w:ascii="Times New Roman" w:hAnsi="Times New Roman" w:cs="Times New Roman"/>
          <w:color w:val="auto"/>
          <w:lang w:val="sq-AL"/>
        </w:rPr>
        <w:t xml:space="preserve">të </w:t>
      </w:r>
      <w:r w:rsidRPr="00EA1CA4">
        <w:rPr>
          <w:rFonts w:ascii="Times New Roman" w:hAnsi="Times New Roman" w:cs="Times New Roman"/>
          <w:color w:val="auto"/>
          <w:lang w:val="sq-AL"/>
        </w:rPr>
        <w:t xml:space="preserve">COVID-19, dhe shumica e stafit me përvojë të këtyre institucioneve </w:t>
      </w:r>
      <w:r w:rsidR="00302980" w:rsidRPr="00EA1CA4">
        <w:rPr>
          <w:rFonts w:ascii="Times New Roman" w:hAnsi="Times New Roman" w:cs="Times New Roman"/>
          <w:color w:val="auto"/>
          <w:lang w:val="sq-AL"/>
        </w:rPr>
        <w:t xml:space="preserve">janë </w:t>
      </w:r>
      <w:r w:rsidRPr="00EA1CA4">
        <w:rPr>
          <w:rFonts w:ascii="Times New Roman" w:hAnsi="Times New Roman" w:cs="Times New Roman"/>
          <w:color w:val="auto"/>
          <w:lang w:val="sq-AL"/>
        </w:rPr>
        <w:t>ri</w:t>
      </w:r>
      <w:r w:rsidR="00302980" w:rsidRPr="00EA1CA4">
        <w:rPr>
          <w:rFonts w:ascii="Times New Roman" w:hAnsi="Times New Roman" w:cs="Times New Roman"/>
          <w:color w:val="auto"/>
          <w:lang w:val="sq-AL"/>
        </w:rPr>
        <w:t>-</w:t>
      </w:r>
      <w:r w:rsidRPr="00EA1CA4">
        <w:rPr>
          <w:rFonts w:ascii="Times New Roman" w:hAnsi="Times New Roman" w:cs="Times New Roman"/>
          <w:color w:val="auto"/>
          <w:lang w:val="sq-AL"/>
        </w:rPr>
        <w:t>alokua</w:t>
      </w:r>
      <w:r w:rsidR="00302980" w:rsidRPr="00EA1CA4">
        <w:rPr>
          <w:rFonts w:ascii="Times New Roman" w:hAnsi="Times New Roman" w:cs="Times New Roman"/>
          <w:color w:val="auto"/>
          <w:lang w:val="sq-AL"/>
        </w:rPr>
        <w:t>r</w:t>
      </w:r>
      <w:r w:rsidRPr="00EA1CA4">
        <w:rPr>
          <w:rFonts w:ascii="Times New Roman" w:hAnsi="Times New Roman" w:cs="Times New Roman"/>
          <w:color w:val="auto"/>
          <w:lang w:val="sq-AL"/>
        </w:rPr>
        <w:t xml:space="preserve"> për të mbështetur ofrimin e shërbimeve për pacientët me COVID-19. Ndikimi real i COVID-19 në Programin e TB ende nuk është vlerësuar. Megjithatë, të dhënat e vitit 2020 kanë treguar tashmë </w:t>
      </w:r>
      <w:r w:rsidR="00302980" w:rsidRPr="00EA1CA4">
        <w:rPr>
          <w:rFonts w:ascii="Times New Roman" w:hAnsi="Times New Roman" w:cs="Times New Roman"/>
          <w:color w:val="auto"/>
          <w:lang w:val="sq-AL"/>
        </w:rPr>
        <w:t xml:space="preserve">ulje të numrit të rasteve të njoftuara të TB-së prej </w:t>
      </w:r>
      <w:r w:rsidRPr="00EA1CA4">
        <w:rPr>
          <w:rFonts w:ascii="Times New Roman" w:hAnsi="Times New Roman" w:cs="Times New Roman"/>
          <w:color w:val="auto"/>
          <w:lang w:val="sq-AL"/>
        </w:rPr>
        <w:t xml:space="preserve">27% në </w:t>
      </w:r>
      <w:r w:rsidR="00302980" w:rsidRPr="00EA1CA4">
        <w:rPr>
          <w:rFonts w:ascii="Times New Roman" w:hAnsi="Times New Roman" w:cs="Times New Roman"/>
          <w:color w:val="auto"/>
          <w:lang w:val="sq-AL"/>
        </w:rPr>
        <w:t xml:space="preserve">vitin </w:t>
      </w:r>
      <w:r w:rsidRPr="00EA1CA4">
        <w:rPr>
          <w:rFonts w:ascii="Times New Roman" w:hAnsi="Times New Roman" w:cs="Times New Roman"/>
          <w:color w:val="auto"/>
          <w:lang w:val="sq-AL"/>
        </w:rPr>
        <w:t>2020 (441 raste të</w:t>
      </w:r>
      <w:r w:rsidR="00302980" w:rsidRPr="00EA1CA4">
        <w:rPr>
          <w:rFonts w:ascii="Times New Roman" w:hAnsi="Times New Roman" w:cs="Times New Roman"/>
          <w:color w:val="auto"/>
          <w:lang w:val="sq-AL"/>
        </w:rPr>
        <w:t xml:space="preserve"> njoftuara të</w:t>
      </w:r>
      <w:r w:rsidRPr="00EA1CA4">
        <w:rPr>
          <w:rFonts w:ascii="Times New Roman" w:hAnsi="Times New Roman" w:cs="Times New Roman"/>
          <w:color w:val="auto"/>
          <w:lang w:val="sq-AL"/>
        </w:rPr>
        <w:t xml:space="preserve"> TB</w:t>
      </w:r>
      <w:r w:rsidR="00302980" w:rsidRPr="00EA1CA4">
        <w:rPr>
          <w:rFonts w:ascii="Times New Roman" w:hAnsi="Times New Roman" w:cs="Times New Roman"/>
          <w:color w:val="auto"/>
          <w:lang w:val="sq-AL"/>
        </w:rPr>
        <w:t>-së</w:t>
      </w:r>
      <w:r w:rsidRPr="00EA1CA4">
        <w:rPr>
          <w:rFonts w:ascii="Times New Roman" w:hAnsi="Times New Roman" w:cs="Times New Roman"/>
          <w:color w:val="auto"/>
          <w:lang w:val="sq-AL"/>
        </w:rPr>
        <w:t>)</w:t>
      </w:r>
      <w:r w:rsidR="00302980" w:rsidRPr="00EA1CA4">
        <w:rPr>
          <w:rFonts w:ascii="Times New Roman" w:hAnsi="Times New Roman" w:cs="Times New Roman"/>
          <w:color w:val="auto"/>
          <w:lang w:val="sq-AL"/>
        </w:rPr>
        <w:t>,</w:t>
      </w:r>
      <w:r w:rsidRPr="00EA1CA4">
        <w:rPr>
          <w:rFonts w:ascii="Times New Roman" w:hAnsi="Times New Roman" w:cs="Times New Roman"/>
          <w:color w:val="auto"/>
          <w:lang w:val="sq-AL"/>
        </w:rPr>
        <w:t xml:space="preserve"> krahasuar me </w:t>
      </w:r>
      <w:r w:rsidR="00302980" w:rsidRPr="00EA1CA4">
        <w:rPr>
          <w:rFonts w:ascii="Times New Roman" w:hAnsi="Times New Roman" w:cs="Times New Roman"/>
          <w:color w:val="auto"/>
          <w:lang w:val="sq-AL"/>
        </w:rPr>
        <w:t xml:space="preserve">vitin </w:t>
      </w:r>
      <w:r w:rsidRPr="00EA1CA4">
        <w:rPr>
          <w:rFonts w:ascii="Times New Roman" w:hAnsi="Times New Roman" w:cs="Times New Roman"/>
          <w:color w:val="auto"/>
          <w:lang w:val="sq-AL"/>
        </w:rPr>
        <w:t>2019 (611 raste të</w:t>
      </w:r>
      <w:r w:rsidR="00302980" w:rsidRPr="00EA1CA4">
        <w:rPr>
          <w:rFonts w:ascii="Times New Roman" w:hAnsi="Times New Roman" w:cs="Times New Roman"/>
          <w:color w:val="auto"/>
          <w:lang w:val="sq-AL"/>
        </w:rPr>
        <w:t xml:space="preserve"> njoftuara të</w:t>
      </w:r>
      <w:r w:rsidRPr="00EA1CA4">
        <w:rPr>
          <w:rFonts w:ascii="Times New Roman" w:hAnsi="Times New Roman" w:cs="Times New Roman"/>
          <w:color w:val="auto"/>
          <w:lang w:val="sq-AL"/>
        </w:rPr>
        <w:t xml:space="preserve"> TB</w:t>
      </w:r>
      <w:r w:rsidR="00302980" w:rsidRPr="00EA1CA4">
        <w:rPr>
          <w:rFonts w:ascii="Times New Roman" w:hAnsi="Times New Roman" w:cs="Times New Roman"/>
          <w:color w:val="auto"/>
          <w:lang w:val="sq-AL"/>
        </w:rPr>
        <w:t>-së</w:t>
      </w:r>
      <w:r w:rsidRPr="00EA1CA4">
        <w:rPr>
          <w:rFonts w:ascii="Times New Roman" w:hAnsi="Times New Roman" w:cs="Times New Roman"/>
          <w:color w:val="auto"/>
          <w:lang w:val="sq-AL"/>
        </w:rPr>
        <w:t>) dhe ulje të konfirmimit mikrobiologjik të TB</w:t>
      </w:r>
      <w:r w:rsidR="00302980" w:rsidRPr="00EA1CA4">
        <w:rPr>
          <w:rFonts w:ascii="Times New Roman" w:hAnsi="Times New Roman" w:cs="Times New Roman"/>
          <w:color w:val="auto"/>
          <w:lang w:val="sq-AL"/>
        </w:rPr>
        <w:t>-së</w:t>
      </w:r>
      <w:r w:rsidRPr="00EA1CA4">
        <w:rPr>
          <w:rFonts w:ascii="Times New Roman" w:hAnsi="Times New Roman" w:cs="Times New Roman"/>
          <w:color w:val="auto"/>
          <w:lang w:val="sq-AL"/>
        </w:rPr>
        <w:t xml:space="preserve"> (40% e rasteve të konfirmuara bakteriologjikisht në </w:t>
      </w:r>
      <w:r w:rsidR="00302980" w:rsidRPr="00EA1CA4">
        <w:rPr>
          <w:rFonts w:ascii="Times New Roman" w:hAnsi="Times New Roman" w:cs="Times New Roman"/>
          <w:color w:val="auto"/>
          <w:lang w:val="sq-AL"/>
        </w:rPr>
        <w:t xml:space="preserve">vitin </w:t>
      </w:r>
      <w:r w:rsidRPr="00EA1CA4">
        <w:rPr>
          <w:rFonts w:ascii="Times New Roman" w:hAnsi="Times New Roman" w:cs="Times New Roman"/>
          <w:color w:val="auto"/>
          <w:lang w:val="sq-AL"/>
        </w:rPr>
        <w:t>2019</w:t>
      </w:r>
      <w:r w:rsidR="00302980" w:rsidRPr="00EA1CA4">
        <w:rPr>
          <w:rFonts w:ascii="Times New Roman" w:hAnsi="Times New Roman" w:cs="Times New Roman"/>
          <w:color w:val="auto"/>
          <w:lang w:val="sq-AL"/>
        </w:rPr>
        <w:t>,</w:t>
      </w:r>
      <w:r w:rsidRPr="00EA1CA4">
        <w:rPr>
          <w:rFonts w:ascii="Times New Roman" w:hAnsi="Times New Roman" w:cs="Times New Roman"/>
          <w:color w:val="auto"/>
          <w:lang w:val="sq-AL"/>
        </w:rPr>
        <w:t xml:space="preserve"> kundrejt 34% në </w:t>
      </w:r>
      <w:r w:rsidR="00302980" w:rsidRPr="00EA1CA4">
        <w:rPr>
          <w:rFonts w:ascii="Times New Roman" w:hAnsi="Times New Roman" w:cs="Times New Roman"/>
          <w:color w:val="auto"/>
          <w:lang w:val="sq-AL"/>
        </w:rPr>
        <w:t xml:space="preserve">vitin </w:t>
      </w:r>
      <w:r w:rsidRPr="00EA1CA4">
        <w:rPr>
          <w:rFonts w:ascii="Times New Roman" w:hAnsi="Times New Roman" w:cs="Times New Roman"/>
          <w:color w:val="auto"/>
          <w:lang w:val="sq-AL"/>
        </w:rPr>
        <w:t>2020</w:t>
      </w:r>
      <w:r w:rsidR="001043A6" w:rsidRPr="00EA1CA4">
        <w:rPr>
          <w:rFonts w:ascii="Times New Roman" w:hAnsi="Times New Roman" w:cs="Times New Roman"/>
          <w:lang w:val="sq-AL"/>
        </w:rPr>
        <w:t>)</w:t>
      </w:r>
      <w:r w:rsidR="001043A6" w:rsidRPr="00EA1CA4">
        <w:rPr>
          <w:rStyle w:val="FootnoteReference"/>
          <w:rFonts w:ascii="Times New Roman" w:hAnsi="Times New Roman"/>
          <w:color w:val="auto"/>
          <w:lang w:val="sq-AL"/>
        </w:rPr>
        <w:footnoteReference w:id="14"/>
      </w:r>
      <w:r w:rsidR="001043A6" w:rsidRPr="00EA1CA4">
        <w:rPr>
          <w:rFonts w:ascii="Times New Roman" w:hAnsi="Times New Roman" w:cs="Times New Roman"/>
          <w:color w:val="auto"/>
          <w:lang w:val="sq-AL"/>
        </w:rPr>
        <w:t xml:space="preserve">. </w:t>
      </w:r>
    </w:p>
    <w:p w:rsidR="00121B64" w:rsidRPr="00EA1CA4" w:rsidRDefault="00121B64" w:rsidP="00624E04">
      <w:pPr>
        <w:spacing w:line="276" w:lineRule="auto"/>
        <w:jc w:val="both"/>
        <w:rPr>
          <w:lang w:eastAsia="en-US"/>
        </w:rPr>
      </w:pPr>
    </w:p>
    <w:p w:rsidR="00F84F31" w:rsidRPr="00EA1CA4" w:rsidRDefault="007A0591" w:rsidP="00624E04">
      <w:pPr>
        <w:spacing w:line="276" w:lineRule="auto"/>
        <w:jc w:val="both"/>
        <w:rPr>
          <w:b/>
        </w:rPr>
      </w:pPr>
      <w:bookmarkStart w:id="17" w:name="_Toc93005232"/>
      <w:r w:rsidRPr="00EA1CA4">
        <w:rPr>
          <w:b/>
        </w:rPr>
        <w:t>Financimi</w:t>
      </w:r>
      <w:r w:rsidR="00F84F31" w:rsidRPr="00EA1CA4">
        <w:rPr>
          <w:b/>
        </w:rPr>
        <w:t xml:space="preserve"> </w:t>
      </w:r>
      <w:r w:rsidRPr="00EA1CA4">
        <w:rPr>
          <w:b/>
        </w:rPr>
        <w:t>i Programit</w:t>
      </w:r>
      <w:r w:rsidR="00F84F31" w:rsidRPr="00EA1CA4">
        <w:rPr>
          <w:b/>
        </w:rPr>
        <w:t xml:space="preserve"> Kombëtar </w:t>
      </w:r>
      <w:r w:rsidR="008F0C51" w:rsidRPr="00EA1CA4">
        <w:rPr>
          <w:b/>
        </w:rPr>
        <w:t>kundër</w:t>
      </w:r>
      <w:r w:rsidR="00F84F31" w:rsidRPr="00EA1CA4">
        <w:rPr>
          <w:b/>
        </w:rPr>
        <w:t xml:space="preserve"> TB</w:t>
      </w:r>
      <w:r w:rsidR="008F0C51" w:rsidRPr="00EA1CA4">
        <w:rPr>
          <w:b/>
        </w:rPr>
        <w:t>-së</w:t>
      </w:r>
    </w:p>
    <w:bookmarkEnd w:id="17"/>
    <w:p w:rsidR="00254429" w:rsidRPr="00EA1CA4" w:rsidRDefault="00F84F31" w:rsidP="00624E04">
      <w:pPr>
        <w:spacing w:line="276" w:lineRule="auto"/>
        <w:jc w:val="both"/>
      </w:pPr>
      <w:r w:rsidRPr="00EA1CA4">
        <w:t xml:space="preserve">Qeveria e Republikës së Kosovës </w:t>
      </w:r>
      <w:r w:rsidR="006E1991" w:rsidRPr="00EA1CA4">
        <w:t xml:space="preserve">është duke </w:t>
      </w:r>
      <w:r w:rsidRPr="00EA1CA4">
        <w:t>sht</w:t>
      </w:r>
      <w:r w:rsidR="006E1991" w:rsidRPr="00EA1CA4">
        <w:t xml:space="preserve">uar </w:t>
      </w:r>
      <w:r w:rsidRPr="00EA1CA4">
        <w:t>investimet e saj në sektorin e shëndetësisë. Të dhënat e paraqitura për VF 2019-2020 janë shpenzimet e përgjithshme aktuale të qeverisë në shëndetësi; dhe të dhënat për VF</w:t>
      </w:r>
      <w:r w:rsidR="006E1991" w:rsidRPr="00EA1CA4">
        <w:t xml:space="preserve"> </w:t>
      </w:r>
      <w:r w:rsidRPr="00EA1CA4">
        <w:t>2021 paraq</w:t>
      </w:r>
      <w:r w:rsidR="006E1991" w:rsidRPr="00EA1CA4">
        <w:t>esin buxhetin e miratuar sipas L</w:t>
      </w:r>
      <w:r w:rsidRPr="00EA1CA4">
        <w:t xml:space="preserve">igjit </w:t>
      </w:r>
      <w:r w:rsidR="006E1991" w:rsidRPr="00EA1CA4">
        <w:t xml:space="preserve">mbi Ndarjet </w:t>
      </w:r>
      <w:r w:rsidRPr="00EA1CA4">
        <w:t>Buxhet</w:t>
      </w:r>
      <w:r w:rsidR="006E1991" w:rsidRPr="00EA1CA4">
        <w:t>ore</w:t>
      </w:r>
      <w:r w:rsidRPr="00EA1CA4">
        <w:t>. Shifrat për VF</w:t>
      </w:r>
      <w:r w:rsidR="006E1991" w:rsidRPr="00EA1CA4">
        <w:t xml:space="preserve"> </w:t>
      </w:r>
      <w:r w:rsidRPr="00EA1CA4">
        <w:t>2022 dhe VF</w:t>
      </w:r>
      <w:r w:rsidR="006E1991" w:rsidRPr="00EA1CA4">
        <w:t xml:space="preserve"> </w:t>
      </w:r>
      <w:r w:rsidRPr="00EA1CA4">
        <w:t xml:space="preserve">2023 bazohen në Kornizat Afatmesme </w:t>
      </w:r>
      <w:r w:rsidR="00A54DAB" w:rsidRPr="00EA1CA4">
        <w:t xml:space="preserve">të Shpenzimeve </w:t>
      </w:r>
      <w:r w:rsidRPr="00EA1CA4">
        <w:t>për vitet 2022-2024</w:t>
      </w:r>
      <w:r w:rsidR="00254429" w:rsidRPr="00EA1CA4">
        <w:rPr>
          <w:rStyle w:val="FootnoteReference"/>
        </w:rPr>
        <w:footnoteReference w:id="15"/>
      </w:r>
      <w:r w:rsidR="006E1991" w:rsidRPr="00EA1CA4">
        <w:t xml:space="preserve"> </w:t>
      </w:r>
      <w:r w:rsidRPr="00EA1CA4">
        <w:t>lëshuar nga Ministria e Financave, të cilat pritet të korrigjohen në fund të vitit 2021</w:t>
      </w:r>
      <w:r w:rsidR="00254429" w:rsidRPr="00EA1CA4">
        <w:t>.</w:t>
      </w:r>
    </w:p>
    <w:p w:rsidR="00376FAA" w:rsidRPr="00EA1CA4" w:rsidRDefault="00376FAA" w:rsidP="00624E04">
      <w:pPr>
        <w:spacing w:line="276" w:lineRule="auto"/>
        <w:jc w:val="both"/>
      </w:pPr>
    </w:p>
    <w:p w:rsidR="00254429" w:rsidRPr="00EA1CA4" w:rsidRDefault="00254429" w:rsidP="00624E04">
      <w:pPr>
        <w:pStyle w:val="Caption"/>
        <w:keepNext/>
        <w:spacing w:line="276" w:lineRule="auto"/>
        <w:jc w:val="both"/>
      </w:pPr>
      <w:bookmarkStart w:id="18" w:name="_Toc93005270"/>
      <w:r w:rsidRPr="00EA1CA4">
        <w:t>Tab</w:t>
      </w:r>
      <w:r w:rsidR="00F84F31" w:rsidRPr="00EA1CA4">
        <w:t>ela</w:t>
      </w:r>
      <w:r w:rsidR="00BC7956" w:rsidRPr="00EA1CA4">
        <w:t xml:space="preserve"> 2</w:t>
      </w:r>
      <w:r w:rsidR="006E1991" w:rsidRPr="00EA1CA4">
        <w:t xml:space="preserve">: </w:t>
      </w:r>
      <w:r w:rsidR="00F84F31" w:rsidRPr="00EA1CA4">
        <w:t>Shpenzimet e Qeverisë së Kosovës në shëndetësi</w:t>
      </w:r>
      <w:r w:rsidRPr="00EA1CA4">
        <w:rPr>
          <w:rStyle w:val="FootnoteReference"/>
        </w:rPr>
        <w:footnoteReference w:id="16"/>
      </w:r>
      <w:bookmarkEnd w:id="18"/>
    </w:p>
    <w:tbl>
      <w:tblPr>
        <w:tblStyle w:val="TableGrid"/>
        <w:tblW w:w="9918" w:type="dxa"/>
        <w:tblInd w:w="113" w:type="dxa"/>
        <w:tblLayout w:type="fixed"/>
        <w:tblLook w:val="04A0" w:firstRow="1" w:lastRow="0" w:firstColumn="1" w:lastColumn="0" w:noHBand="0" w:noVBand="1"/>
      </w:tblPr>
      <w:tblGrid>
        <w:gridCol w:w="2263"/>
        <w:gridCol w:w="1276"/>
        <w:gridCol w:w="1276"/>
        <w:gridCol w:w="1276"/>
        <w:gridCol w:w="1273"/>
        <w:gridCol w:w="1278"/>
        <w:gridCol w:w="1276"/>
      </w:tblGrid>
      <w:tr w:rsidR="00254429" w:rsidRPr="00EA1CA4" w:rsidTr="00F3455A">
        <w:trPr>
          <w:trHeight w:val="441"/>
        </w:trPr>
        <w:tc>
          <w:tcPr>
            <w:tcW w:w="2263" w:type="dxa"/>
            <w:vMerge w:val="restart"/>
            <w:noWrap/>
            <w:hideMark/>
          </w:tcPr>
          <w:p w:rsidR="00254429" w:rsidRPr="00EA1CA4" w:rsidRDefault="00254429" w:rsidP="00624E04">
            <w:pPr>
              <w:spacing w:line="276" w:lineRule="auto"/>
              <w:jc w:val="both"/>
              <w:rPr>
                <w:lang w:val="sq-AL"/>
              </w:rPr>
            </w:pPr>
            <w:r w:rsidRPr="00EA1CA4">
              <w:rPr>
                <w:lang w:val="sq-AL"/>
              </w:rPr>
              <w:t> </w:t>
            </w:r>
          </w:p>
        </w:tc>
        <w:tc>
          <w:tcPr>
            <w:tcW w:w="3828" w:type="dxa"/>
            <w:gridSpan w:val="3"/>
            <w:noWrap/>
            <w:hideMark/>
          </w:tcPr>
          <w:p w:rsidR="00254429" w:rsidRPr="00EA1CA4" w:rsidRDefault="00985F01" w:rsidP="00832EFD">
            <w:pPr>
              <w:spacing w:line="276" w:lineRule="auto"/>
              <w:jc w:val="center"/>
              <w:rPr>
                <w:b/>
                <w:bCs/>
                <w:lang w:val="sq-AL"/>
              </w:rPr>
            </w:pPr>
            <w:r w:rsidRPr="00EA1CA4">
              <w:rPr>
                <w:b/>
                <w:bCs/>
                <w:lang w:val="sq-AL"/>
              </w:rPr>
              <w:t>Aktuale dhe të mëparshme</w:t>
            </w:r>
          </w:p>
        </w:tc>
        <w:tc>
          <w:tcPr>
            <w:tcW w:w="3827" w:type="dxa"/>
            <w:gridSpan w:val="3"/>
            <w:noWrap/>
            <w:hideMark/>
          </w:tcPr>
          <w:p w:rsidR="00254429" w:rsidRPr="00EA1CA4" w:rsidRDefault="00985F01" w:rsidP="00832EFD">
            <w:pPr>
              <w:spacing w:line="276" w:lineRule="auto"/>
              <w:jc w:val="center"/>
              <w:rPr>
                <w:b/>
                <w:bCs/>
                <w:lang w:val="sq-AL"/>
              </w:rPr>
            </w:pPr>
            <w:r w:rsidRPr="00EA1CA4">
              <w:rPr>
                <w:b/>
                <w:bCs/>
                <w:lang w:val="sq-AL"/>
              </w:rPr>
              <w:t>Të projektuara</w:t>
            </w:r>
          </w:p>
        </w:tc>
      </w:tr>
      <w:tr w:rsidR="00254429" w:rsidRPr="00EA1CA4" w:rsidTr="00F3455A">
        <w:trPr>
          <w:trHeight w:val="441"/>
        </w:trPr>
        <w:tc>
          <w:tcPr>
            <w:tcW w:w="2263" w:type="dxa"/>
            <w:vMerge/>
            <w:hideMark/>
          </w:tcPr>
          <w:p w:rsidR="00254429" w:rsidRPr="00EA1CA4" w:rsidRDefault="00254429" w:rsidP="00624E04">
            <w:pPr>
              <w:spacing w:line="276" w:lineRule="auto"/>
              <w:jc w:val="both"/>
              <w:rPr>
                <w:lang w:val="sq-AL"/>
              </w:rPr>
            </w:pPr>
          </w:p>
        </w:tc>
        <w:tc>
          <w:tcPr>
            <w:tcW w:w="1276" w:type="dxa"/>
            <w:noWrap/>
            <w:hideMark/>
          </w:tcPr>
          <w:p w:rsidR="00254429" w:rsidRPr="00EA1CA4" w:rsidRDefault="00254429" w:rsidP="00832EFD">
            <w:pPr>
              <w:spacing w:line="276" w:lineRule="auto"/>
              <w:jc w:val="center"/>
              <w:rPr>
                <w:b/>
                <w:bCs/>
                <w:lang w:val="sq-AL"/>
              </w:rPr>
            </w:pPr>
            <w:r w:rsidRPr="00EA1CA4">
              <w:rPr>
                <w:b/>
                <w:bCs/>
                <w:lang w:val="sq-AL"/>
              </w:rPr>
              <w:t>2019</w:t>
            </w:r>
          </w:p>
        </w:tc>
        <w:tc>
          <w:tcPr>
            <w:tcW w:w="1276" w:type="dxa"/>
            <w:noWrap/>
            <w:hideMark/>
          </w:tcPr>
          <w:p w:rsidR="00254429" w:rsidRPr="00EA1CA4" w:rsidRDefault="00254429" w:rsidP="00832EFD">
            <w:pPr>
              <w:spacing w:line="276" w:lineRule="auto"/>
              <w:jc w:val="center"/>
              <w:rPr>
                <w:b/>
                <w:bCs/>
                <w:lang w:val="sq-AL"/>
              </w:rPr>
            </w:pPr>
            <w:r w:rsidRPr="00EA1CA4">
              <w:rPr>
                <w:b/>
                <w:bCs/>
                <w:lang w:val="sq-AL"/>
              </w:rPr>
              <w:t>2020</w:t>
            </w:r>
          </w:p>
        </w:tc>
        <w:tc>
          <w:tcPr>
            <w:tcW w:w="1276" w:type="dxa"/>
            <w:noWrap/>
            <w:hideMark/>
          </w:tcPr>
          <w:p w:rsidR="00254429" w:rsidRPr="00EA1CA4" w:rsidRDefault="00254429" w:rsidP="00832EFD">
            <w:pPr>
              <w:spacing w:line="276" w:lineRule="auto"/>
              <w:jc w:val="center"/>
              <w:rPr>
                <w:b/>
                <w:bCs/>
                <w:lang w:val="sq-AL"/>
              </w:rPr>
            </w:pPr>
            <w:r w:rsidRPr="00EA1CA4">
              <w:rPr>
                <w:b/>
                <w:bCs/>
                <w:lang w:val="sq-AL"/>
              </w:rPr>
              <w:t>2021</w:t>
            </w:r>
          </w:p>
        </w:tc>
        <w:tc>
          <w:tcPr>
            <w:tcW w:w="1273" w:type="dxa"/>
            <w:noWrap/>
            <w:hideMark/>
          </w:tcPr>
          <w:p w:rsidR="00254429" w:rsidRPr="00EA1CA4" w:rsidRDefault="00254429" w:rsidP="00832EFD">
            <w:pPr>
              <w:spacing w:line="276" w:lineRule="auto"/>
              <w:jc w:val="center"/>
              <w:rPr>
                <w:b/>
                <w:bCs/>
                <w:lang w:val="sq-AL"/>
              </w:rPr>
            </w:pPr>
            <w:r w:rsidRPr="00EA1CA4">
              <w:rPr>
                <w:b/>
                <w:bCs/>
                <w:lang w:val="sq-AL"/>
              </w:rPr>
              <w:t>2022</w:t>
            </w:r>
          </w:p>
        </w:tc>
        <w:tc>
          <w:tcPr>
            <w:tcW w:w="1278" w:type="dxa"/>
            <w:noWrap/>
            <w:hideMark/>
          </w:tcPr>
          <w:p w:rsidR="00254429" w:rsidRPr="00EA1CA4" w:rsidRDefault="00254429" w:rsidP="00832EFD">
            <w:pPr>
              <w:spacing w:line="276" w:lineRule="auto"/>
              <w:jc w:val="center"/>
              <w:rPr>
                <w:b/>
                <w:bCs/>
                <w:lang w:val="sq-AL"/>
              </w:rPr>
            </w:pPr>
            <w:r w:rsidRPr="00EA1CA4">
              <w:rPr>
                <w:b/>
                <w:bCs/>
                <w:lang w:val="sq-AL"/>
              </w:rPr>
              <w:t>2023</w:t>
            </w:r>
          </w:p>
        </w:tc>
        <w:tc>
          <w:tcPr>
            <w:tcW w:w="1276" w:type="dxa"/>
            <w:noWrap/>
            <w:hideMark/>
          </w:tcPr>
          <w:p w:rsidR="00254429" w:rsidRPr="00EA1CA4" w:rsidRDefault="00254429" w:rsidP="00832EFD">
            <w:pPr>
              <w:spacing w:line="276" w:lineRule="auto"/>
              <w:jc w:val="center"/>
              <w:rPr>
                <w:b/>
                <w:bCs/>
                <w:lang w:val="sq-AL"/>
              </w:rPr>
            </w:pPr>
            <w:r w:rsidRPr="00EA1CA4">
              <w:rPr>
                <w:b/>
                <w:bCs/>
                <w:lang w:val="sq-AL"/>
              </w:rPr>
              <w:t>2024</w:t>
            </w:r>
          </w:p>
        </w:tc>
      </w:tr>
      <w:tr w:rsidR="00254429" w:rsidRPr="00EA1CA4" w:rsidTr="00F3455A">
        <w:trPr>
          <w:trHeight w:val="441"/>
        </w:trPr>
        <w:tc>
          <w:tcPr>
            <w:tcW w:w="2263" w:type="dxa"/>
            <w:hideMark/>
          </w:tcPr>
          <w:p w:rsidR="00254429" w:rsidRPr="00EA1CA4" w:rsidRDefault="00985F01" w:rsidP="00D6333D">
            <w:pPr>
              <w:spacing w:line="276" w:lineRule="auto"/>
              <w:rPr>
                <w:b/>
                <w:bCs/>
                <w:lang w:val="sq-AL"/>
              </w:rPr>
            </w:pPr>
            <w:r w:rsidRPr="00EA1CA4">
              <w:rPr>
                <w:b/>
                <w:bCs/>
                <w:lang w:val="sq-AL"/>
              </w:rPr>
              <w:t xml:space="preserve">Shpenzimet </w:t>
            </w:r>
            <w:r w:rsidR="006E1991" w:rsidRPr="00EA1CA4">
              <w:rPr>
                <w:b/>
                <w:bCs/>
                <w:lang w:val="sq-AL"/>
              </w:rPr>
              <w:t xml:space="preserve">e përgjithshme të Qeverisë në </w:t>
            </w:r>
            <w:r w:rsidRPr="00EA1CA4">
              <w:rPr>
                <w:b/>
                <w:bCs/>
                <w:lang w:val="sq-AL"/>
              </w:rPr>
              <w:t>Sektori</w:t>
            </w:r>
            <w:r w:rsidR="006E1991" w:rsidRPr="00EA1CA4">
              <w:rPr>
                <w:b/>
                <w:bCs/>
                <w:lang w:val="sq-AL"/>
              </w:rPr>
              <w:t xml:space="preserve">n e </w:t>
            </w:r>
            <w:r w:rsidRPr="00EA1CA4">
              <w:rPr>
                <w:b/>
                <w:bCs/>
                <w:lang w:val="sq-AL"/>
              </w:rPr>
              <w:t>Shëndetës</w:t>
            </w:r>
            <w:r w:rsidR="006E1991" w:rsidRPr="00EA1CA4">
              <w:rPr>
                <w:b/>
                <w:bCs/>
                <w:lang w:val="sq-AL"/>
              </w:rPr>
              <w:t>isë</w:t>
            </w:r>
          </w:p>
        </w:tc>
        <w:tc>
          <w:tcPr>
            <w:tcW w:w="1276" w:type="dxa"/>
            <w:hideMark/>
          </w:tcPr>
          <w:p w:rsidR="00254429" w:rsidRPr="00EA1CA4" w:rsidRDefault="00254429" w:rsidP="00832EFD">
            <w:pPr>
              <w:spacing w:line="276" w:lineRule="auto"/>
              <w:jc w:val="center"/>
              <w:rPr>
                <w:lang w:val="sq-AL"/>
              </w:rPr>
            </w:pPr>
            <w:r w:rsidRPr="00EA1CA4">
              <w:rPr>
                <w:lang w:val="sq-AL"/>
              </w:rPr>
              <w:t>€ 246,321,000</w:t>
            </w:r>
          </w:p>
        </w:tc>
        <w:tc>
          <w:tcPr>
            <w:tcW w:w="1276" w:type="dxa"/>
            <w:hideMark/>
          </w:tcPr>
          <w:p w:rsidR="00254429" w:rsidRPr="00EA1CA4" w:rsidRDefault="00254429" w:rsidP="00832EFD">
            <w:pPr>
              <w:spacing w:line="276" w:lineRule="auto"/>
              <w:jc w:val="center"/>
              <w:rPr>
                <w:lang w:val="sq-AL"/>
              </w:rPr>
            </w:pPr>
            <w:r w:rsidRPr="00EA1CA4">
              <w:rPr>
                <w:lang w:val="sq-AL"/>
              </w:rPr>
              <w:t>€ 331,227,887</w:t>
            </w:r>
          </w:p>
        </w:tc>
        <w:tc>
          <w:tcPr>
            <w:tcW w:w="1276" w:type="dxa"/>
            <w:hideMark/>
          </w:tcPr>
          <w:p w:rsidR="00254429" w:rsidRPr="00EA1CA4" w:rsidRDefault="00254429" w:rsidP="00832EFD">
            <w:pPr>
              <w:spacing w:line="276" w:lineRule="auto"/>
              <w:jc w:val="center"/>
              <w:rPr>
                <w:lang w:val="sq-AL"/>
              </w:rPr>
            </w:pPr>
            <w:r w:rsidRPr="00EA1CA4">
              <w:rPr>
                <w:lang w:val="sq-AL"/>
              </w:rPr>
              <w:t>€ 299,519,844</w:t>
            </w:r>
          </w:p>
        </w:tc>
        <w:tc>
          <w:tcPr>
            <w:tcW w:w="1273" w:type="dxa"/>
            <w:hideMark/>
          </w:tcPr>
          <w:p w:rsidR="00254429" w:rsidRPr="00EA1CA4" w:rsidRDefault="00254429" w:rsidP="00832EFD">
            <w:pPr>
              <w:spacing w:line="276" w:lineRule="auto"/>
              <w:jc w:val="center"/>
              <w:rPr>
                <w:lang w:val="sq-AL"/>
              </w:rPr>
            </w:pPr>
            <w:r w:rsidRPr="00EA1CA4">
              <w:rPr>
                <w:lang w:val="sq-AL"/>
              </w:rPr>
              <w:t>€ 256,085,842</w:t>
            </w:r>
          </w:p>
        </w:tc>
        <w:tc>
          <w:tcPr>
            <w:tcW w:w="1278" w:type="dxa"/>
            <w:hideMark/>
          </w:tcPr>
          <w:p w:rsidR="00254429" w:rsidRPr="00EA1CA4" w:rsidRDefault="00254429" w:rsidP="00832EFD">
            <w:pPr>
              <w:spacing w:line="276" w:lineRule="auto"/>
              <w:jc w:val="center"/>
              <w:rPr>
                <w:lang w:val="sq-AL"/>
              </w:rPr>
            </w:pPr>
            <w:r w:rsidRPr="00EA1CA4">
              <w:rPr>
                <w:lang w:val="sq-AL"/>
              </w:rPr>
              <w:t>€ 249,589,861</w:t>
            </w:r>
          </w:p>
        </w:tc>
        <w:tc>
          <w:tcPr>
            <w:tcW w:w="1276" w:type="dxa"/>
            <w:hideMark/>
          </w:tcPr>
          <w:p w:rsidR="00254429" w:rsidRPr="00EA1CA4" w:rsidRDefault="00254429" w:rsidP="00832EFD">
            <w:pPr>
              <w:spacing w:line="276" w:lineRule="auto"/>
              <w:jc w:val="center"/>
              <w:rPr>
                <w:lang w:val="sq-AL"/>
              </w:rPr>
            </w:pPr>
            <w:r w:rsidRPr="00EA1CA4">
              <w:rPr>
                <w:lang w:val="sq-AL"/>
              </w:rPr>
              <w:t>€ 281,700,879</w:t>
            </w:r>
          </w:p>
        </w:tc>
      </w:tr>
      <w:tr w:rsidR="00254429" w:rsidRPr="00EA1CA4" w:rsidTr="00F3455A">
        <w:trPr>
          <w:trHeight w:val="441"/>
        </w:trPr>
        <w:tc>
          <w:tcPr>
            <w:tcW w:w="2263" w:type="dxa"/>
            <w:hideMark/>
          </w:tcPr>
          <w:p w:rsidR="00254429" w:rsidRPr="00EA1CA4" w:rsidRDefault="00CF4815" w:rsidP="00D6333D">
            <w:pPr>
              <w:spacing w:line="276" w:lineRule="auto"/>
              <w:rPr>
                <w:b/>
                <w:bCs/>
                <w:lang w:val="sq-AL"/>
              </w:rPr>
            </w:pPr>
            <w:r w:rsidRPr="00EA1CA4">
              <w:rPr>
                <w:b/>
                <w:bCs/>
                <w:lang w:val="sq-AL"/>
              </w:rPr>
              <w:t>P</w:t>
            </w:r>
            <w:r w:rsidR="006E1991" w:rsidRPr="00EA1CA4">
              <w:rPr>
                <w:b/>
                <w:bCs/>
                <w:lang w:val="sq-AL"/>
              </w:rPr>
              <w:t xml:space="preserve">ërqindja </w:t>
            </w:r>
            <w:r w:rsidRPr="00EA1CA4">
              <w:rPr>
                <w:b/>
                <w:bCs/>
                <w:lang w:val="sq-AL"/>
              </w:rPr>
              <w:t>e shpenzimeve për shëndetësinë në shpenzimet e qeverisë (%)</w:t>
            </w:r>
          </w:p>
        </w:tc>
        <w:tc>
          <w:tcPr>
            <w:tcW w:w="1276" w:type="dxa"/>
            <w:hideMark/>
          </w:tcPr>
          <w:p w:rsidR="00254429" w:rsidRPr="00EA1CA4" w:rsidRDefault="00254429" w:rsidP="00832EFD">
            <w:pPr>
              <w:spacing w:line="276" w:lineRule="auto"/>
              <w:jc w:val="center"/>
              <w:rPr>
                <w:lang w:val="sq-AL"/>
              </w:rPr>
            </w:pPr>
            <w:r w:rsidRPr="00EA1CA4">
              <w:rPr>
                <w:lang w:val="sq-AL"/>
              </w:rPr>
              <w:t>11.8%</w:t>
            </w:r>
          </w:p>
        </w:tc>
        <w:tc>
          <w:tcPr>
            <w:tcW w:w="1276" w:type="dxa"/>
            <w:hideMark/>
          </w:tcPr>
          <w:p w:rsidR="00254429" w:rsidRPr="00EA1CA4" w:rsidRDefault="00254429" w:rsidP="00832EFD">
            <w:pPr>
              <w:spacing w:line="276" w:lineRule="auto"/>
              <w:jc w:val="center"/>
              <w:rPr>
                <w:lang w:val="sq-AL"/>
              </w:rPr>
            </w:pPr>
            <w:r w:rsidRPr="00EA1CA4">
              <w:rPr>
                <w:lang w:val="sq-AL"/>
              </w:rPr>
              <w:t>11.8%</w:t>
            </w:r>
          </w:p>
        </w:tc>
        <w:tc>
          <w:tcPr>
            <w:tcW w:w="1276" w:type="dxa"/>
            <w:hideMark/>
          </w:tcPr>
          <w:p w:rsidR="00254429" w:rsidRPr="00EA1CA4" w:rsidRDefault="00254429" w:rsidP="00832EFD">
            <w:pPr>
              <w:spacing w:line="276" w:lineRule="auto"/>
              <w:jc w:val="center"/>
              <w:rPr>
                <w:lang w:val="sq-AL"/>
              </w:rPr>
            </w:pPr>
            <w:r w:rsidRPr="00EA1CA4">
              <w:rPr>
                <w:lang w:val="sq-AL"/>
              </w:rPr>
              <w:t>13.0%</w:t>
            </w:r>
          </w:p>
        </w:tc>
        <w:tc>
          <w:tcPr>
            <w:tcW w:w="1273" w:type="dxa"/>
            <w:hideMark/>
          </w:tcPr>
          <w:p w:rsidR="00254429" w:rsidRPr="00EA1CA4" w:rsidRDefault="00254429" w:rsidP="00832EFD">
            <w:pPr>
              <w:spacing w:line="276" w:lineRule="auto"/>
              <w:jc w:val="center"/>
              <w:rPr>
                <w:lang w:val="sq-AL"/>
              </w:rPr>
            </w:pPr>
            <w:r w:rsidRPr="00EA1CA4">
              <w:rPr>
                <w:lang w:val="sq-AL"/>
              </w:rPr>
              <w:t>10.0%</w:t>
            </w:r>
          </w:p>
        </w:tc>
        <w:tc>
          <w:tcPr>
            <w:tcW w:w="1278" w:type="dxa"/>
            <w:hideMark/>
          </w:tcPr>
          <w:p w:rsidR="00254429" w:rsidRPr="00EA1CA4" w:rsidRDefault="00254429" w:rsidP="00832EFD">
            <w:pPr>
              <w:spacing w:line="276" w:lineRule="auto"/>
              <w:jc w:val="center"/>
              <w:rPr>
                <w:lang w:val="sq-AL"/>
              </w:rPr>
            </w:pPr>
            <w:r w:rsidRPr="00EA1CA4">
              <w:rPr>
                <w:lang w:val="sq-AL"/>
              </w:rPr>
              <w:t>9.0%</w:t>
            </w:r>
          </w:p>
        </w:tc>
        <w:tc>
          <w:tcPr>
            <w:tcW w:w="1276" w:type="dxa"/>
            <w:hideMark/>
          </w:tcPr>
          <w:p w:rsidR="00254429" w:rsidRPr="00EA1CA4" w:rsidRDefault="00254429" w:rsidP="00832EFD">
            <w:pPr>
              <w:spacing w:line="276" w:lineRule="auto"/>
              <w:jc w:val="center"/>
              <w:rPr>
                <w:lang w:val="sq-AL"/>
              </w:rPr>
            </w:pPr>
            <w:r w:rsidRPr="00EA1CA4">
              <w:rPr>
                <w:lang w:val="sq-AL"/>
              </w:rPr>
              <w:t>8.4%</w:t>
            </w:r>
          </w:p>
        </w:tc>
      </w:tr>
    </w:tbl>
    <w:p w:rsidR="00232CCF" w:rsidRPr="00EA1CA4" w:rsidRDefault="00232CCF" w:rsidP="00624E04">
      <w:pPr>
        <w:spacing w:after="60" w:line="276" w:lineRule="auto"/>
        <w:jc w:val="both"/>
      </w:pPr>
    </w:p>
    <w:p w:rsidR="00254429" w:rsidRPr="00EA1CA4" w:rsidRDefault="00CF4815" w:rsidP="00624E04">
      <w:pPr>
        <w:spacing w:after="60" w:line="276" w:lineRule="auto"/>
        <w:jc w:val="both"/>
        <w:rPr>
          <w:color w:val="FF0000"/>
          <w:highlight w:val="cyan"/>
        </w:rPr>
      </w:pPr>
      <w:r w:rsidRPr="00EA1CA4">
        <w:lastRenderedPageBreak/>
        <w:t xml:space="preserve">Duhet të theksohet se Kosova nuk ka llogari </w:t>
      </w:r>
      <w:r w:rsidR="006E1991" w:rsidRPr="00EA1CA4">
        <w:t xml:space="preserve">shëndetësore </w:t>
      </w:r>
      <w:r w:rsidRPr="00EA1CA4">
        <w:t>kombëtare ose llogari shëndetësore specifike për sëmundje, përfshirë atë për HIV ose TB. Prandaj, analiza e shpenzimeve buxhetore të qeverisë për programet e TB dhe HIV për periudhën 2019 – 2021 është bazuar në analizën retrospektive të raporteve të shpenzimeve vjetore të qeverisë përgjatë kategorive të përcaktuara të buxhetit kombëtar (paga dhe mëditje, mallra dhe shërbime dhe investime kapitale). Në vitin 2021, një asistencë teknike kombëtare u mobilizua për të vlerësuar angazhimet e kaluara dhe aktuale të Qeverisë së Kosovës në programet kombëtare për HIV/TB dhe analizën e hendekut financiar vendor</w:t>
      </w:r>
      <w:r w:rsidR="00254429" w:rsidRPr="00EA1CA4">
        <w:t xml:space="preserve">. </w:t>
      </w:r>
    </w:p>
    <w:p w:rsidR="00254429" w:rsidRPr="00EA1CA4" w:rsidRDefault="00CF4815" w:rsidP="00624E04">
      <w:pPr>
        <w:spacing w:after="60" w:line="276" w:lineRule="auto"/>
        <w:jc w:val="both"/>
      </w:pPr>
      <w:r w:rsidRPr="00EA1CA4">
        <w:t xml:space="preserve">Qeveria e Republikës së Kosovës ka kontribuar me </w:t>
      </w:r>
      <w:r w:rsidR="00A134A1" w:rsidRPr="00EA1CA4">
        <w:t xml:space="preserve">EUR </w:t>
      </w:r>
      <w:r w:rsidRPr="00EA1CA4">
        <w:t xml:space="preserve">6,259,238 </w:t>
      </w:r>
      <w:r w:rsidR="00A134A1" w:rsidRPr="00EA1CA4">
        <w:t>n</w:t>
      </w:r>
      <w:r w:rsidRPr="00EA1CA4">
        <w:t xml:space="preserve">ë programet për HIV dhe TB </w:t>
      </w:r>
      <w:r w:rsidR="00A134A1" w:rsidRPr="00EA1CA4">
        <w:t>gjatë periudhës</w:t>
      </w:r>
      <w:r w:rsidRPr="00EA1CA4">
        <w:t xml:space="preserve"> 2019-2021. Shuma tejkalon zotimet e qeverisë prej </w:t>
      </w:r>
      <w:r w:rsidR="00A134A1" w:rsidRPr="00EA1CA4">
        <w:t xml:space="preserve">EUR </w:t>
      </w:r>
      <w:r w:rsidRPr="00EA1CA4">
        <w:t xml:space="preserve">5,781,871 për </w:t>
      </w:r>
      <w:r w:rsidR="00A134A1" w:rsidRPr="00EA1CA4">
        <w:t>periudhën</w:t>
      </w:r>
      <w:r w:rsidRPr="00EA1CA4">
        <w:t xml:space="preserve"> 2018-2021 të treguara në Marrëveshjen e Grantit</w:t>
      </w:r>
      <w:r w:rsidR="00D900AE" w:rsidRPr="00EA1CA4">
        <w:t xml:space="preserve"> të FG</w:t>
      </w:r>
      <w:r w:rsidRPr="00EA1CA4">
        <w:t xml:space="preserve">. Shpenzimet e qeverisë për të dy programet </w:t>
      </w:r>
      <w:r w:rsidR="00A134A1" w:rsidRPr="00EA1CA4">
        <w:t xml:space="preserve">gjatë viteve </w:t>
      </w:r>
      <w:r w:rsidRPr="00EA1CA4">
        <w:t xml:space="preserve">2019-2021 përfaqësojnë një rritje prej </w:t>
      </w:r>
      <w:r w:rsidR="00A134A1" w:rsidRPr="00EA1CA4">
        <w:t xml:space="preserve">EUR </w:t>
      </w:r>
      <w:r w:rsidRPr="00EA1CA4">
        <w:t>1,719,238</w:t>
      </w:r>
      <w:r w:rsidR="00A134A1" w:rsidRPr="00EA1CA4">
        <w:t>,</w:t>
      </w:r>
      <w:r w:rsidRPr="00EA1CA4">
        <w:t xml:space="preserve"> krahasuar me kërkesat e mëparshme të bashkëfinancimit </w:t>
      </w:r>
      <w:r w:rsidR="00A134A1" w:rsidRPr="00EA1CA4">
        <w:t>gjatë periudhës</w:t>
      </w:r>
      <w:r w:rsidRPr="00EA1CA4">
        <w:t xml:space="preserve"> 2016-2018, duke tejkaluar kërkesën e mëparshme për një investim shtesë minimal prej </w:t>
      </w:r>
      <w:r w:rsidR="00A134A1" w:rsidRPr="00EA1CA4">
        <w:t xml:space="preserve">EUR </w:t>
      </w:r>
      <w:r w:rsidRPr="00EA1CA4">
        <w:t>775,989, të treguar në Marrëveshjen e G</w:t>
      </w:r>
      <w:r w:rsidR="00376FAA" w:rsidRPr="00EA1CA4">
        <w:t>rantit të FG</w:t>
      </w:r>
      <w:r w:rsidR="00A134A1" w:rsidRPr="00EA1CA4">
        <w:t>,</w:t>
      </w:r>
      <w:r w:rsidRPr="00EA1CA4">
        <w:t xml:space="preserve"> të nënshkruar më 1 nëntor 2021</w:t>
      </w:r>
      <w:r w:rsidR="00254429" w:rsidRPr="00EA1CA4">
        <w:t xml:space="preserve">. </w:t>
      </w:r>
    </w:p>
    <w:p w:rsidR="00254429" w:rsidRPr="00EA1CA4" w:rsidRDefault="00CF4815" w:rsidP="00624E04">
      <w:pPr>
        <w:spacing w:after="60" w:line="276" w:lineRule="auto"/>
        <w:jc w:val="both"/>
      </w:pPr>
      <w:r w:rsidRPr="00EA1CA4">
        <w:t>Marrëveshja aktuale</w:t>
      </w:r>
      <w:r w:rsidR="00C57B40" w:rsidRPr="00EA1CA4">
        <w:t xml:space="preserve"> e grantit</w:t>
      </w:r>
      <w:r w:rsidRPr="00EA1CA4">
        <w:rPr>
          <w:vertAlign w:val="superscript"/>
        </w:rPr>
        <w:footnoteReference w:id="17"/>
      </w:r>
      <w:r w:rsidRPr="00EA1CA4">
        <w:t xml:space="preserve"> </w:t>
      </w:r>
      <w:r w:rsidR="00C57B40" w:rsidRPr="00EA1CA4">
        <w:t xml:space="preserve">përvijon </w:t>
      </w:r>
      <w:r w:rsidRPr="00EA1CA4">
        <w:t xml:space="preserve">se qeveria po planifikon të zotojë </w:t>
      </w:r>
      <w:r w:rsidR="00A134A1" w:rsidRPr="00EA1CA4">
        <w:t xml:space="preserve">EUR </w:t>
      </w:r>
      <w:r w:rsidRPr="00EA1CA4">
        <w:t xml:space="preserve">6,457,293 për të financuar kostot direkte të programeve për HIV dhe TB </w:t>
      </w:r>
      <w:r w:rsidR="00A134A1" w:rsidRPr="00EA1CA4">
        <w:t xml:space="preserve">gjatë </w:t>
      </w:r>
      <w:r w:rsidRPr="00EA1CA4">
        <w:t>vite</w:t>
      </w:r>
      <w:r w:rsidR="00A134A1" w:rsidRPr="00EA1CA4">
        <w:t>ve</w:t>
      </w:r>
      <w:r w:rsidRPr="00EA1CA4">
        <w:t xml:space="preserve"> 2022-2024. Kjo do të përfaqësojë një rritje prej </w:t>
      </w:r>
      <w:r w:rsidR="00A134A1" w:rsidRPr="00EA1CA4">
        <w:t xml:space="preserve">EUR </w:t>
      </w:r>
      <w:r w:rsidRPr="00EA1CA4">
        <w:t>675,422</w:t>
      </w:r>
      <w:r w:rsidR="00A134A1" w:rsidRPr="00EA1CA4">
        <w:t>,</w:t>
      </w:r>
      <w:r w:rsidRPr="00EA1CA4">
        <w:t xml:space="preserve"> krahasuar me zotimet mëparshme të qeverisë </w:t>
      </w:r>
      <w:r w:rsidR="00A134A1" w:rsidRPr="00EA1CA4">
        <w:t>për</w:t>
      </w:r>
      <w:r w:rsidRPr="00EA1CA4">
        <w:t xml:space="preserve"> vitet 2019-2021. Një investim shtesë minimal për vitet 2019-2021 i treguar në Shkresën e Alokimit është </w:t>
      </w:r>
      <w:r w:rsidR="00A134A1" w:rsidRPr="00EA1CA4">
        <w:t xml:space="preserve">EUR </w:t>
      </w:r>
      <w:r w:rsidRPr="00EA1CA4">
        <w:t>775,989</w:t>
      </w:r>
      <w:r w:rsidR="00254429" w:rsidRPr="00EA1CA4">
        <w:t xml:space="preserve">. </w:t>
      </w:r>
    </w:p>
    <w:p w:rsidR="00254429" w:rsidRPr="00EA1CA4" w:rsidRDefault="00CF4815" w:rsidP="00624E04">
      <w:pPr>
        <w:spacing w:after="60" w:line="276" w:lineRule="auto"/>
        <w:jc w:val="both"/>
      </w:pPr>
      <w:r w:rsidRPr="00EA1CA4">
        <w:t xml:space="preserve">Duhet theksuar se </w:t>
      </w:r>
      <w:r w:rsidR="00A134A1" w:rsidRPr="00EA1CA4">
        <w:t>Q</w:t>
      </w:r>
      <w:r w:rsidRPr="00EA1CA4">
        <w:t xml:space="preserve">everia e Kosovës ka tejkaluar zotimet e bashkëfinancimit gjatë viteve 2019-2021, dhe do të vazhdojë të angazhohet për të rritur më tej investimet e saj në programet e HIV/TB gjatë viteve 2022-2024. Zhvillimi i një Plani të ri Kombëtar të Veprimit </w:t>
      </w:r>
      <w:r w:rsidR="00A134A1" w:rsidRPr="00EA1CA4">
        <w:t>kundër</w:t>
      </w:r>
      <w:r w:rsidRPr="00EA1CA4">
        <w:t xml:space="preserve"> TB-</w:t>
      </w:r>
      <w:r w:rsidR="00A134A1" w:rsidRPr="00EA1CA4">
        <w:t>s</w:t>
      </w:r>
      <w:r w:rsidRPr="00EA1CA4">
        <w:t xml:space="preserve">ë me kosto për </w:t>
      </w:r>
      <w:r w:rsidR="00A134A1" w:rsidRPr="00EA1CA4">
        <w:t xml:space="preserve">periudhën </w:t>
      </w:r>
      <w:r w:rsidRPr="00EA1CA4">
        <w:t>2022-2024 ofron llogaritje më të përditësuara dhe të sakta</w:t>
      </w:r>
      <w:r w:rsidR="009C3D82" w:rsidRPr="00EA1CA4">
        <w:t xml:space="preserve"> buxhetore</w:t>
      </w:r>
      <w:r w:rsidR="00A134A1" w:rsidRPr="00EA1CA4">
        <w:t>,</w:t>
      </w:r>
      <w:r w:rsidRPr="00EA1CA4">
        <w:t xml:space="preserve"> që do të informojnë më tej nevojat e financimit publik në bazë të të cilave</w:t>
      </w:r>
      <w:r w:rsidR="00C04AAE" w:rsidRPr="00EA1CA4">
        <w:t xml:space="preserve"> qeveria planifikon të rregullojë angazhimet e saj të bashkëfinancimit dhe letra e </w:t>
      </w:r>
      <w:r w:rsidR="00C04AAE" w:rsidRPr="00EA1CA4">
        <w:lastRenderedPageBreak/>
        <w:t>rishikuar zotimit do t'i dorëzohet Fondit Global deri në fund të vitit 2021.</w:t>
      </w:r>
    </w:p>
    <w:p w:rsidR="00254429" w:rsidRPr="00EA1CA4" w:rsidRDefault="00CF4815" w:rsidP="00624E04">
      <w:pPr>
        <w:spacing w:line="276" w:lineRule="auto"/>
        <w:jc w:val="both"/>
      </w:pPr>
      <w:r w:rsidRPr="00EA1CA4">
        <w:t xml:space="preserve">Në </w:t>
      </w:r>
      <w:r w:rsidR="00CE1E47" w:rsidRPr="00EA1CA4">
        <w:t>periudhën</w:t>
      </w:r>
      <w:r w:rsidRPr="00EA1CA4">
        <w:t xml:space="preserve"> 2022-2024, Qeveria e Kosovës dhe Fondi Global do të vazhdojnë të jenë dy burimet kryesore financiare për kontrollin e epidemive të HIV-it dhe TB-së në vend, dhe pjesa e shpenzimeve të qeverisë do të rritet gradualisht për të absorbuar kostot e shërbimeve të TB-së të mbuluara nga Fondi Global. Të dy programet e sëmundjes do të financohen plotësisht nga qeveria pasi të përfundojë cikli i granteve të FG në </w:t>
      </w:r>
      <w:r w:rsidR="00BF5910" w:rsidRPr="00EA1CA4">
        <w:t xml:space="preserve">vitin </w:t>
      </w:r>
      <w:r w:rsidRPr="00EA1CA4">
        <w:t>2024</w:t>
      </w:r>
      <w:r w:rsidR="00254429" w:rsidRPr="00EA1CA4">
        <w:t>.</w:t>
      </w:r>
    </w:p>
    <w:p w:rsidR="00CF4815" w:rsidRDefault="00CF4815" w:rsidP="00624E04">
      <w:pPr>
        <w:spacing w:line="276" w:lineRule="auto"/>
        <w:jc w:val="both"/>
        <w:rPr>
          <w:lang w:eastAsia="en-US"/>
        </w:rPr>
      </w:pPr>
    </w:p>
    <w:p w:rsidR="006F4A00" w:rsidRDefault="006F4A00" w:rsidP="00624E04">
      <w:pPr>
        <w:spacing w:line="276" w:lineRule="auto"/>
        <w:jc w:val="both"/>
        <w:rPr>
          <w:lang w:eastAsia="en-US"/>
        </w:rPr>
      </w:pPr>
    </w:p>
    <w:p w:rsidR="006F4A00" w:rsidRDefault="006F4A00" w:rsidP="00624E04">
      <w:pPr>
        <w:spacing w:line="276" w:lineRule="auto"/>
        <w:jc w:val="both"/>
        <w:rPr>
          <w:lang w:eastAsia="en-US"/>
        </w:rPr>
      </w:pPr>
    </w:p>
    <w:p w:rsidR="006F4A00" w:rsidRDefault="006F4A00" w:rsidP="00624E04">
      <w:pPr>
        <w:spacing w:line="276" w:lineRule="auto"/>
        <w:jc w:val="both"/>
        <w:rPr>
          <w:lang w:eastAsia="en-US"/>
        </w:rPr>
      </w:pPr>
    </w:p>
    <w:p w:rsidR="006F4A00" w:rsidRDefault="006F4A00" w:rsidP="00624E04">
      <w:pPr>
        <w:spacing w:line="276" w:lineRule="auto"/>
        <w:jc w:val="both"/>
        <w:rPr>
          <w:lang w:eastAsia="en-US"/>
        </w:rPr>
      </w:pPr>
    </w:p>
    <w:p w:rsidR="006F4A00" w:rsidRPr="00EA1CA4" w:rsidRDefault="006F4A00" w:rsidP="00624E04">
      <w:pPr>
        <w:spacing w:line="276" w:lineRule="auto"/>
        <w:jc w:val="both"/>
        <w:rPr>
          <w:lang w:eastAsia="en-US"/>
        </w:rPr>
      </w:pPr>
    </w:p>
    <w:p w:rsidR="00CF4815" w:rsidRPr="00EA1CA4" w:rsidRDefault="00DD5916" w:rsidP="00DD5916">
      <w:pPr>
        <w:pStyle w:val="Heading1"/>
        <w:rPr>
          <w:rFonts w:ascii="Times New Roman" w:hAnsi="Times New Roman"/>
          <w:szCs w:val="24"/>
          <w:lang w:eastAsia="en-US"/>
        </w:rPr>
      </w:pPr>
      <w:bookmarkStart w:id="19" w:name="_Toc108517253"/>
      <w:r w:rsidRPr="00EA1CA4">
        <w:rPr>
          <w:rFonts w:ascii="Times New Roman" w:hAnsi="Times New Roman"/>
          <w:szCs w:val="24"/>
          <w:lang w:eastAsia="en-US"/>
        </w:rPr>
        <w:t xml:space="preserve">5. </w:t>
      </w:r>
      <w:r w:rsidR="00CF4815" w:rsidRPr="00EA1CA4">
        <w:rPr>
          <w:rFonts w:ascii="Times New Roman" w:hAnsi="Times New Roman"/>
          <w:szCs w:val="24"/>
          <w:lang w:eastAsia="en-US"/>
        </w:rPr>
        <w:t>Objektivat</w:t>
      </w:r>
      <w:bookmarkEnd w:id="19"/>
    </w:p>
    <w:p w:rsidR="00A134A1" w:rsidRPr="00EA1CA4" w:rsidRDefault="00A134A1" w:rsidP="00D6333D">
      <w:pPr>
        <w:spacing w:line="276" w:lineRule="auto"/>
        <w:jc w:val="both"/>
        <w:rPr>
          <w:rFonts w:eastAsiaTheme="majorEastAsia"/>
          <w:b/>
          <w:bCs/>
          <w:kern w:val="32"/>
          <w:lang w:eastAsia="en-US"/>
        </w:rPr>
      </w:pPr>
    </w:p>
    <w:p w:rsidR="001630A3" w:rsidRPr="00EA1CA4" w:rsidRDefault="0018744C" w:rsidP="00624E04">
      <w:pPr>
        <w:spacing w:line="276" w:lineRule="auto"/>
        <w:jc w:val="both"/>
      </w:pPr>
      <w:r w:rsidRPr="00EA1CA4">
        <w:rPr>
          <w:b/>
          <w:i/>
        </w:rPr>
        <w:t xml:space="preserve">Objektivi </w:t>
      </w:r>
      <w:r w:rsidR="007A0591" w:rsidRPr="00EA1CA4">
        <w:rPr>
          <w:b/>
          <w:i/>
        </w:rPr>
        <w:t>i Përgjithshëm</w:t>
      </w:r>
      <w:r w:rsidR="00CD68E0" w:rsidRPr="00EA1CA4">
        <w:rPr>
          <w:b/>
          <w:i/>
        </w:rPr>
        <w:t xml:space="preserve"> kontrollit të TB-së: U</w:t>
      </w:r>
      <w:r w:rsidR="00D6333D" w:rsidRPr="00EA1CA4">
        <w:rPr>
          <w:b/>
          <w:i/>
        </w:rPr>
        <w:t>lja e vdekshm</w:t>
      </w:r>
      <w:r w:rsidR="007A0591" w:rsidRPr="00EA1CA4">
        <w:rPr>
          <w:b/>
          <w:i/>
        </w:rPr>
        <w:t>ë</w:t>
      </w:r>
      <w:r w:rsidR="00D6333D" w:rsidRPr="00EA1CA4">
        <w:rPr>
          <w:b/>
          <w:i/>
        </w:rPr>
        <w:t>ris</w:t>
      </w:r>
      <w:r w:rsidR="007A0591" w:rsidRPr="00EA1CA4">
        <w:rPr>
          <w:b/>
          <w:i/>
        </w:rPr>
        <w:t>ë</w:t>
      </w:r>
      <w:r w:rsidR="00D6333D" w:rsidRPr="00EA1CA4">
        <w:rPr>
          <w:b/>
          <w:i/>
        </w:rPr>
        <w:t xml:space="preserve"> dhe s</w:t>
      </w:r>
      <w:r w:rsidR="007A0591" w:rsidRPr="00EA1CA4">
        <w:rPr>
          <w:b/>
          <w:i/>
        </w:rPr>
        <w:t>ë</w:t>
      </w:r>
      <w:r w:rsidR="00D6333D" w:rsidRPr="00EA1CA4">
        <w:rPr>
          <w:b/>
          <w:i/>
        </w:rPr>
        <w:t>mundshm</w:t>
      </w:r>
      <w:r w:rsidR="007A0591" w:rsidRPr="00EA1CA4">
        <w:rPr>
          <w:b/>
          <w:i/>
        </w:rPr>
        <w:t>ë</w:t>
      </w:r>
      <w:r w:rsidR="00D6333D" w:rsidRPr="00EA1CA4">
        <w:rPr>
          <w:b/>
          <w:i/>
        </w:rPr>
        <w:t>ris</w:t>
      </w:r>
      <w:r w:rsidR="007A0591" w:rsidRPr="00EA1CA4">
        <w:rPr>
          <w:b/>
          <w:i/>
        </w:rPr>
        <w:t>ë</w:t>
      </w:r>
      <w:r w:rsidR="00D6333D" w:rsidRPr="00EA1CA4">
        <w:rPr>
          <w:b/>
          <w:i/>
        </w:rPr>
        <w:t xml:space="preserve"> nga TB</w:t>
      </w:r>
      <w:r w:rsidR="00D6333D" w:rsidRPr="00EA1CA4">
        <w:t xml:space="preserve"> dhe n</w:t>
      </w:r>
      <w:r w:rsidR="007A0591" w:rsidRPr="00EA1CA4">
        <w:t>ë</w:t>
      </w:r>
      <w:r w:rsidR="00D6333D" w:rsidRPr="00EA1CA4">
        <w:t xml:space="preserve"> k</w:t>
      </w:r>
      <w:r w:rsidR="007A0591" w:rsidRPr="00EA1CA4">
        <w:t>ë</w:t>
      </w:r>
      <w:r w:rsidR="00D6333D" w:rsidRPr="00EA1CA4">
        <w:t>t</w:t>
      </w:r>
      <w:r w:rsidR="007A0591" w:rsidRPr="00EA1CA4">
        <w:t>ë</w:t>
      </w:r>
      <w:r w:rsidR="00D6333D" w:rsidRPr="00EA1CA4">
        <w:t xml:space="preserve"> m</w:t>
      </w:r>
      <w:r w:rsidR="007A0591" w:rsidRPr="00EA1CA4">
        <w:t>ë</w:t>
      </w:r>
      <w:r w:rsidR="00D6333D" w:rsidRPr="00EA1CA4">
        <w:t>nyr</w:t>
      </w:r>
      <w:r w:rsidR="007A0591" w:rsidRPr="00EA1CA4">
        <w:t>ë</w:t>
      </w:r>
      <w:r w:rsidR="00D6333D" w:rsidRPr="00EA1CA4">
        <w:t xml:space="preserve"> zvoglimi i </w:t>
      </w:r>
      <w:r w:rsidR="00CF4815" w:rsidRPr="00EA1CA4">
        <w:t>barrë</w:t>
      </w:r>
      <w:r w:rsidR="00D6333D" w:rsidRPr="00EA1CA4">
        <w:t>s s</w:t>
      </w:r>
      <w:r w:rsidR="007A0591" w:rsidRPr="00EA1CA4">
        <w:t>ë</w:t>
      </w:r>
      <w:r w:rsidR="00CF4815" w:rsidRPr="00EA1CA4">
        <w:t xml:space="preserve"> TB-së dhe ndikimin e tij në shëndetin e popullatës, dhe zhvillimin e përgjithshëm social dhe ekonomik në vend</w:t>
      </w:r>
      <w:r w:rsidR="00081E3C" w:rsidRPr="00EA1CA4">
        <w:t>,</w:t>
      </w:r>
      <w:r w:rsidR="00CF4815" w:rsidRPr="00EA1CA4">
        <w:t xml:space="preserve"> duke siguruar qasje universale në diagnostikimin, kujdesin dhe trajtimin në kohë dhe cilësor për të gjitha format e TB-së</w:t>
      </w:r>
      <w:r w:rsidR="001630A3" w:rsidRPr="00EA1CA4">
        <w:t xml:space="preserve">. </w:t>
      </w:r>
    </w:p>
    <w:p w:rsidR="00CD68E0" w:rsidRPr="00EA1CA4" w:rsidRDefault="00CD68E0" w:rsidP="00624E04">
      <w:pPr>
        <w:spacing w:line="276" w:lineRule="auto"/>
        <w:jc w:val="both"/>
        <w:rPr>
          <w:lang w:eastAsia="en-US"/>
        </w:rPr>
      </w:pPr>
    </w:p>
    <w:p w:rsidR="00AA2F50" w:rsidRPr="00EA1CA4" w:rsidRDefault="00AA2F50" w:rsidP="00DA78D3">
      <w:pPr>
        <w:rPr>
          <w:b/>
          <w:lang w:eastAsia="en-US"/>
        </w:rPr>
      </w:pPr>
      <w:bookmarkStart w:id="20" w:name="_Ref82465795"/>
      <w:bookmarkStart w:id="21" w:name="_Toc93005244"/>
      <w:r w:rsidRPr="00EA1CA4">
        <w:rPr>
          <w:b/>
          <w:lang w:eastAsia="en-US"/>
        </w:rPr>
        <w:t>O</w:t>
      </w:r>
      <w:r w:rsidR="00BC7956" w:rsidRPr="00EA1CA4">
        <w:rPr>
          <w:b/>
          <w:lang w:eastAsia="en-US"/>
        </w:rPr>
        <w:t>bjektivi specifik</w:t>
      </w:r>
      <w:r w:rsidR="00081E3C" w:rsidRPr="00EA1CA4">
        <w:rPr>
          <w:b/>
          <w:lang w:eastAsia="en-US"/>
        </w:rPr>
        <w:t xml:space="preserve"> </w:t>
      </w:r>
      <w:r w:rsidRPr="00EA1CA4">
        <w:rPr>
          <w:b/>
          <w:lang w:eastAsia="en-US"/>
        </w:rPr>
        <w:t xml:space="preserve">1: Parandalimi, trajtimi dhe kujdesi i integruar i </w:t>
      </w:r>
      <w:r w:rsidR="00081E3C" w:rsidRPr="00EA1CA4">
        <w:rPr>
          <w:b/>
          <w:lang w:eastAsia="en-US"/>
        </w:rPr>
        <w:t>TB-së</w:t>
      </w:r>
      <w:r w:rsidRPr="00EA1CA4">
        <w:rPr>
          <w:b/>
          <w:lang w:eastAsia="en-US"/>
        </w:rPr>
        <w:t xml:space="preserve"> me në qendër pacientin</w:t>
      </w:r>
    </w:p>
    <w:p w:rsidR="00081E3C" w:rsidRPr="00EA1CA4" w:rsidRDefault="00081E3C" w:rsidP="00624E04">
      <w:pPr>
        <w:spacing w:line="276" w:lineRule="auto"/>
        <w:jc w:val="both"/>
        <w:rPr>
          <w:color w:val="2E74B5"/>
          <w:lang w:eastAsia="en-US"/>
        </w:rPr>
      </w:pPr>
    </w:p>
    <w:bookmarkEnd w:id="20"/>
    <w:bookmarkEnd w:id="21"/>
    <w:p w:rsidR="00AA2F50" w:rsidRPr="00EA1CA4" w:rsidRDefault="00AA2F50" w:rsidP="00624E04">
      <w:pPr>
        <w:spacing w:line="276" w:lineRule="auto"/>
        <w:jc w:val="both"/>
        <w:rPr>
          <w:b/>
        </w:rPr>
      </w:pPr>
      <w:r w:rsidRPr="00EA1CA4">
        <w:rPr>
          <w:b/>
        </w:rPr>
        <w:t>Rezultati 1.1. Ofr</w:t>
      </w:r>
      <w:r w:rsidR="00081E3C" w:rsidRPr="00EA1CA4">
        <w:rPr>
          <w:b/>
        </w:rPr>
        <w:t xml:space="preserve">imi i </w:t>
      </w:r>
      <w:r w:rsidRPr="00EA1CA4">
        <w:rPr>
          <w:b/>
        </w:rPr>
        <w:t>shërbime</w:t>
      </w:r>
      <w:r w:rsidR="00081E3C" w:rsidRPr="00EA1CA4">
        <w:rPr>
          <w:b/>
        </w:rPr>
        <w:t>ve</w:t>
      </w:r>
      <w:r w:rsidRPr="00EA1CA4">
        <w:rPr>
          <w:b/>
        </w:rPr>
        <w:t xml:space="preserve"> të integruara</w:t>
      </w:r>
      <w:r w:rsidR="00081E3C" w:rsidRPr="00EA1CA4">
        <w:rPr>
          <w:b/>
        </w:rPr>
        <w:t>,</w:t>
      </w:r>
      <w:r w:rsidRPr="00EA1CA4">
        <w:rPr>
          <w:b/>
        </w:rPr>
        <w:t xml:space="preserve"> </w:t>
      </w:r>
      <w:r w:rsidR="00081E3C" w:rsidRPr="00EA1CA4">
        <w:rPr>
          <w:b/>
        </w:rPr>
        <w:t xml:space="preserve">me </w:t>
      </w:r>
      <w:r w:rsidRPr="00EA1CA4">
        <w:rPr>
          <w:b/>
        </w:rPr>
        <w:t>në qendër pacienti</w:t>
      </w:r>
      <w:r w:rsidR="00081E3C" w:rsidRPr="00EA1CA4">
        <w:rPr>
          <w:b/>
        </w:rPr>
        <w:t>n,</w:t>
      </w:r>
      <w:r w:rsidRPr="00EA1CA4">
        <w:rPr>
          <w:b/>
        </w:rPr>
        <w:t xml:space="preserve"> për të gjithë pacientët me TB dhe komunitetet e prekura, duke përfshirë pacientët M/XDR-TB</w:t>
      </w:r>
    </w:p>
    <w:p w:rsidR="00081E3C" w:rsidRPr="00EA1CA4" w:rsidRDefault="00081E3C" w:rsidP="00624E04">
      <w:pPr>
        <w:spacing w:line="276" w:lineRule="auto"/>
        <w:jc w:val="both"/>
        <w:rPr>
          <w:b/>
          <w:i/>
        </w:rPr>
      </w:pPr>
    </w:p>
    <w:p w:rsidR="001630A3" w:rsidRPr="00EA1CA4" w:rsidRDefault="00081E3C" w:rsidP="00624E04">
      <w:pPr>
        <w:spacing w:line="276" w:lineRule="auto"/>
        <w:jc w:val="both"/>
        <w:rPr>
          <w:b/>
          <w:i/>
        </w:rPr>
      </w:pPr>
      <w:r w:rsidRPr="00EA1CA4">
        <w:rPr>
          <w:b/>
          <w:i/>
        </w:rPr>
        <w:t>A</w:t>
      </w:r>
      <w:r w:rsidR="00AA2F50" w:rsidRPr="00EA1CA4">
        <w:rPr>
          <w:b/>
          <w:i/>
        </w:rPr>
        <w:t>ktivitetet e planifikuara</w:t>
      </w:r>
      <w:r w:rsidR="001630A3" w:rsidRPr="00EA1CA4">
        <w:rPr>
          <w:b/>
          <w:i/>
        </w:rPr>
        <w:t xml:space="preserve">: </w:t>
      </w:r>
    </w:p>
    <w:p w:rsidR="00AA2F50" w:rsidRPr="00EA1CA4" w:rsidRDefault="00AA2F50">
      <w:pPr>
        <w:pStyle w:val="ListParagraph"/>
        <w:numPr>
          <w:ilvl w:val="2"/>
          <w:numId w:val="4"/>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Sigur</w:t>
      </w:r>
      <w:r w:rsidR="00081E3C" w:rsidRPr="00EA1CA4">
        <w:rPr>
          <w:rFonts w:ascii="Times New Roman" w:hAnsi="Times New Roman"/>
          <w:sz w:val="24"/>
          <w:szCs w:val="24"/>
          <w:lang w:val="sq-AL"/>
        </w:rPr>
        <w:t xml:space="preserve">imi i </w:t>
      </w:r>
      <w:r w:rsidRPr="00EA1CA4">
        <w:rPr>
          <w:rFonts w:ascii="Times New Roman" w:hAnsi="Times New Roman"/>
          <w:sz w:val="24"/>
          <w:szCs w:val="24"/>
          <w:lang w:val="sq-AL"/>
        </w:rPr>
        <w:t>furnizim</w:t>
      </w:r>
      <w:r w:rsidR="00081E3C" w:rsidRPr="00EA1CA4">
        <w:rPr>
          <w:rFonts w:ascii="Times New Roman" w:hAnsi="Times New Roman"/>
          <w:sz w:val="24"/>
          <w:szCs w:val="24"/>
          <w:lang w:val="sq-AL"/>
        </w:rPr>
        <w:t>it</w:t>
      </w:r>
      <w:r w:rsidRPr="00EA1CA4">
        <w:rPr>
          <w:rFonts w:ascii="Times New Roman" w:hAnsi="Times New Roman"/>
          <w:sz w:val="24"/>
          <w:szCs w:val="24"/>
          <w:lang w:val="sq-AL"/>
        </w:rPr>
        <w:t xml:space="preserve"> adekuat dhe të pandërprerë me barna të linjës së parë kundër TB</w:t>
      </w:r>
      <w:r w:rsidR="00081E3C" w:rsidRPr="00EA1CA4">
        <w:rPr>
          <w:rFonts w:ascii="Times New Roman" w:hAnsi="Times New Roman"/>
          <w:sz w:val="24"/>
          <w:szCs w:val="24"/>
          <w:lang w:val="sq-AL"/>
        </w:rPr>
        <w:t>-së</w:t>
      </w:r>
    </w:p>
    <w:p w:rsidR="00AA2F50" w:rsidRPr="00EA1CA4" w:rsidRDefault="00AA2F50">
      <w:pPr>
        <w:pStyle w:val="ListParagraph"/>
        <w:numPr>
          <w:ilvl w:val="2"/>
          <w:numId w:val="4"/>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Sigur</w:t>
      </w:r>
      <w:r w:rsidR="00081E3C" w:rsidRPr="00EA1CA4">
        <w:rPr>
          <w:rFonts w:ascii="Times New Roman" w:hAnsi="Times New Roman"/>
          <w:sz w:val="24"/>
          <w:szCs w:val="24"/>
          <w:lang w:val="sq-AL"/>
        </w:rPr>
        <w:t xml:space="preserve">imi i </w:t>
      </w:r>
      <w:r w:rsidRPr="00EA1CA4">
        <w:rPr>
          <w:rFonts w:ascii="Times New Roman" w:hAnsi="Times New Roman"/>
          <w:sz w:val="24"/>
          <w:szCs w:val="24"/>
          <w:lang w:val="sq-AL"/>
        </w:rPr>
        <w:t>furnizim</w:t>
      </w:r>
      <w:r w:rsidR="00081E3C" w:rsidRPr="00EA1CA4">
        <w:rPr>
          <w:rFonts w:ascii="Times New Roman" w:hAnsi="Times New Roman"/>
          <w:sz w:val="24"/>
          <w:szCs w:val="24"/>
          <w:lang w:val="sq-AL"/>
        </w:rPr>
        <w:t>it</w:t>
      </w:r>
      <w:r w:rsidRPr="00EA1CA4">
        <w:rPr>
          <w:rFonts w:ascii="Times New Roman" w:hAnsi="Times New Roman"/>
          <w:sz w:val="24"/>
          <w:szCs w:val="24"/>
          <w:lang w:val="sq-AL"/>
        </w:rPr>
        <w:t xml:space="preserve"> adekuat dhe të pandërprerë me barna të linjës së dytë (MDR-TB) kundër TB</w:t>
      </w:r>
      <w:r w:rsidR="00081E3C" w:rsidRPr="00EA1CA4">
        <w:rPr>
          <w:rFonts w:ascii="Times New Roman" w:hAnsi="Times New Roman"/>
          <w:sz w:val="24"/>
          <w:szCs w:val="24"/>
          <w:lang w:val="sq-AL"/>
        </w:rPr>
        <w:t>-së</w:t>
      </w:r>
    </w:p>
    <w:p w:rsidR="00AA2F50" w:rsidRPr="00EA1CA4" w:rsidRDefault="00AA2F50">
      <w:pPr>
        <w:pStyle w:val="ListParagraph"/>
        <w:numPr>
          <w:ilvl w:val="2"/>
          <w:numId w:val="4"/>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Menaxh</w:t>
      </w:r>
      <w:r w:rsidR="00081E3C" w:rsidRPr="00EA1CA4">
        <w:rPr>
          <w:rFonts w:ascii="Times New Roman" w:hAnsi="Times New Roman"/>
          <w:sz w:val="24"/>
          <w:szCs w:val="24"/>
          <w:lang w:val="sq-AL"/>
        </w:rPr>
        <w:t xml:space="preserve">imi </w:t>
      </w:r>
      <w:r w:rsidRPr="00EA1CA4">
        <w:rPr>
          <w:rFonts w:ascii="Times New Roman" w:hAnsi="Times New Roman"/>
          <w:sz w:val="24"/>
          <w:szCs w:val="24"/>
          <w:lang w:val="sq-AL"/>
        </w:rPr>
        <w:t>dhe monitor</w:t>
      </w:r>
      <w:r w:rsidR="00081E3C" w:rsidRPr="00EA1CA4">
        <w:rPr>
          <w:rFonts w:ascii="Times New Roman" w:hAnsi="Times New Roman"/>
          <w:sz w:val="24"/>
          <w:szCs w:val="24"/>
          <w:lang w:val="sq-AL"/>
        </w:rPr>
        <w:t>imi i</w:t>
      </w:r>
      <w:r w:rsidRPr="00EA1CA4">
        <w:rPr>
          <w:rFonts w:ascii="Times New Roman" w:hAnsi="Times New Roman"/>
          <w:sz w:val="24"/>
          <w:szCs w:val="24"/>
          <w:lang w:val="sq-AL"/>
        </w:rPr>
        <w:t xml:space="preserve"> trajtimi</w:t>
      </w:r>
      <w:r w:rsidR="00081E3C" w:rsidRPr="00EA1CA4">
        <w:rPr>
          <w:rFonts w:ascii="Times New Roman" w:hAnsi="Times New Roman"/>
          <w:sz w:val="24"/>
          <w:szCs w:val="24"/>
          <w:lang w:val="sq-AL"/>
        </w:rPr>
        <w:t>t,</w:t>
      </w:r>
      <w:r w:rsidRPr="00EA1CA4">
        <w:rPr>
          <w:rFonts w:ascii="Times New Roman" w:hAnsi="Times New Roman"/>
          <w:sz w:val="24"/>
          <w:szCs w:val="24"/>
          <w:lang w:val="sq-AL"/>
        </w:rPr>
        <w:t xml:space="preserve"> dhe efektet anësore të barnave kundër TB</w:t>
      </w:r>
      <w:r w:rsidR="00081E3C" w:rsidRPr="00EA1CA4">
        <w:rPr>
          <w:rFonts w:ascii="Times New Roman" w:hAnsi="Times New Roman"/>
          <w:sz w:val="24"/>
          <w:szCs w:val="24"/>
          <w:lang w:val="sq-AL"/>
        </w:rPr>
        <w:t>-së</w:t>
      </w:r>
    </w:p>
    <w:p w:rsidR="00AA2F50" w:rsidRPr="00EA1CA4" w:rsidRDefault="00AA2F50">
      <w:pPr>
        <w:pStyle w:val="ListParagraph"/>
        <w:numPr>
          <w:ilvl w:val="2"/>
          <w:numId w:val="4"/>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lastRenderedPageBreak/>
        <w:t>Sigur</w:t>
      </w:r>
      <w:r w:rsidR="00081E3C" w:rsidRPr="00EA1CA4">
        <w:rPr>
          <w:rFonts w:ascii="Times New Roman" w:hAnsi="Times New Roman"/>
          <w:sz w:val="24"/>
          <w:szCs w:val="24"/>
          <w:lang w:val="sq-AL"/>
        </w:rPr>
        <w:t xml:space="preserve">imi i </w:t>
      </w:r>
      <w:r w:rsidRPr="00EA1CA4">
        <w:rPr>
          <w:rFonts w:ascii="Times New Roman" w:hAnsi="Times New Roman"/>
          <w:sz w:val="24"/>
          <w:szCs w:val="24"/>
          <w:lang w:val="sq-AL"/>
        </w:rPr>
        <w:t>shërbime</w:t>
      </w:r>
      <w:r w:rsidR="00081E3C" w:rsidRPr="00EA1CA4">
        <w:rPr>
          <w:rFonts w:ascii="Times New Roman" w:hAnsi="Times New Roman"/>
          <w:sz w:val="24"/>
          <w:szCs w:val="24"/>
          <w:lang w:val="sq-AL"/>
        </w:rPr>
        <w:t>ve</w:t>
      </w:r>
      <w:r w:rsidRPr="00EA1CA4">
        <w:rPr>
          <w:rFonts w:ascii="Times New Roman" w:hAnsi="Times New Roman"/>
          <w:sz w:val="24"/>
          <w:szCs w:val="24"/>
          <w:lang w:val="sq-AL"/>
        </w:rPr>
        <w:t xml:space="preserve"> klinike dhe laboratorike për të gjithë pacientët me TB, </w:t>
      </w:r>
      <w:r w:rsidR="00081E3C" w:rsidRPr="00EA1CA4">
        <w:rPr>
          <w:rFonts w:ascii="Times New Roman" w:hAnsi="Times New Roman"/>
          <w:sz w:val="24"/>
          <w:szCs w:val="24"/>
          <w:lang w:val="sq-AL"/>
        </w:rPr>
        <w:t xml:space="preserve">duke </w:t>
      </w:r>
      <w:r w:rsidRPr="00EA1CA4">
        <w:rPr>
          <w:rFonts w:ascii="Times New Roman" w:hAnsi="Times New Roman"/>
          <w:sz w:val="24"/>
          <w:szCs w:val="24"/>
          <w:lang w:val="sq-AL"/>
        </w:rPr>
        <w:t>përfshirë pacientët M/XDR-TB</w:t>
      </w:r>
    </w:p>
    <w:p w:rsidR="00AA2F50" w:rsidRPr="00EA1CA4" w:rsidRDefault="00AA2F50">
      <w:pPr>
        <w:pStyle w:val="ListParagraph"/>
        <w:numPr>
          <w:ilvl w:val="2"/>
          <w:numId w:val="4"/>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Sigur</w:t>
      </w:r>
      <w:r w:rsidR="00081E3C" w:rsidRPr="00EA1CA4">
        <w:rPr>
          <w:rFonts w:ascii="Times New Roman" w:hAnsi="Times New Roman"/>
          <w:sz w:val="24"/>
          <w:szCs w:val="24"/>
          <w:lang w:val="sq-AL"/>
        </w:rPr>
        <w:t xml:space="preserve">imi i </w:t>
      </w:r>
      <w:r w:rsidRPr="00EA1CA4">
        <w:rPr>
          <w:rFonts w:ascii="Times New Roman" w:hAnsi="Times New Roman"/>
          <w:sz w:val="24"/>
          <w:szCs w:val="24"/>
          <w:lang w:val="sq-AL"/>
        </w:rPr>
        <w:t>ekzaminime</w:t>
      </w:r>
      <w:r w:rsidR="00081E3C" w:rsidRPr="00EA1CA4">
        <w:rPr>
          <w:rFonts w:ascii="Times New Roman" w:hAnsi="Times New Roman"/>
          <w:sz w:val="24"/>
          <w:szCs w:val="24"/>
          <w:lang w:val="sq-AL"/>
        </w:rPr>
        <w:t>ve</w:t>
      </w:r>
      <w:r w:rsidRPr="00EA1CA4">
        <w:rPr>
          <w:rFonts w:ascii="Times New Roman" w:hAnsi="Times New Roman"/>
          <w:sz w:val="24"/>
          <w:szCs w:val="24"/>
          <w:lang w:val="sq-AL"/>
        </w:rPr>
        <w:t xml:space="preserve"> klinike, diagnostikimi me rreze X dhe teste të tjera për rastet </w:t>
      </w:r>
      <w:r w:rsidR="00081E3C" w:rsidRPr="00EA1CA4">
        <w:rPr>
          <w:rFonts w:ascii="Times New Roman" w:hAnsi="Times New Roman"/>
          <w:sz w:val="24"/>
          <w:szCs w:val="24"/>
          <w:lang w:val="sq-AL"/>
        </w:rPr>
        <w:t>me</w:t>
      </w:r>
      <w:r w:rsidRPr="00EA1CA4">
        <w:rPr>
          <w:rFonts w:ascii="Times New Roman" w:hAnsi="Times New Roman"/>
          <w:sz w:val="24"/>
          <w:szCs w:val="24"/>
          <w:lang w:val="sq-AL"/>
        </w:rPr>
        <w:t xml:space="preserve"> TB pulmonar</w:t>
      </w:r>
      <w:r w:rsidR="00081E3C" w:rsidRPr="00EA1CA4">
        <w:rPr>
          <w:rFonts w:ascii="Times New Roman" w:hAnsi="Times New Roman"/>
          <w:sz w:val="24"/>
          <w:szCs w:val="24"/>
          <w:lang w:val="sq-AL"/>
        </w:rPr>
        <w:t>e</w:t>
      </w:r>
      <w:r w:rsidRPr="00EA1CA4">
        <w:rPr>
          <w:rFonts w:ascii="Times New Roman" w:hAnsi="Times New Roman"/>
          <w:sz w:val="24"/>
          <w:szCs w:val="24"/>
          <w:lang w:val="sq-AL"/>
        </w:rPr>
        <w:t xml:space="preserve"> dhe ekstra-pulmonar</w:t>
      </w:r>
      <w:r w:rsidR="00081E3C" w:rsidRPr="00EA1CA4">
        <w:rPr>
          <w:rFonts w:ascii="Times New Roman" w:hAnsi="Times New Roman"/>
          <w:sz w:val="24"/>
          <w:szCs w:val="24"/>
          <w:lang w:val="sq-AL"/>
        </w:rPr>
        <w:t>e,</w:t>
      </w:r>
      <w:r w:rsidRPr="00EA1CA4">
        <w:rPr>
          <w:rFonts w:ascii="Times New Roman" w:hAnsi="Times New Roman"/>
          <w:sz w:val="24"/>
          <w:szCs w:val="24"/>
          <w:lang w:val="sq-AL"/>
        </w:rPr>
        <w:t xml:space="preserve"> duke përfshirë TB-në pediatrike</w:t>
      </w:r>
    </w:p>
    <w:p w:rsidR="001630A3" w:rsidRPr="00EA1CA4" w:rsidRDefault="00AA2F50">
      <w:pPr>
        <w:pStyle w:val="ListParagraph"/>
        <w:numPr>
          <w:ilvl w:val="2"/>
          <w:numId w:val="4"/>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Rishik</w:t>
      </w:r>
      <w:r w:rsidR="00081E3C" w:rsidRPr="00EA1CA4">
        <w:rPr>
          <w:rFonts w:ascii="Times New Roman" w:hAnsi="Times New Roman"/>
          <w:sz w:val="24"/>
          <w:szCs w:val="24"/>
          <w:lang w:val="sq-AL"/>
        </w:rPr>
        <w:t>imi</w:t>
      </w:r>
      <w:r w:rsidRPr="00EA1CA4">
        <w:rPr>
          <w:rFonts w:ascii="Times New Roman" w:hAnsi="Times New Roman"/>
          <w:sz w:val="24"/>
          <w:szCs w:val="24"/>
          <w:lang w:val="sq-AL"/>
        </w:rPr>
        <w:t xml:space="preserve"> dhe hart</w:t>
      </w:r>
      <w:r w:rsidR="00081E3C" w:rsidRPr="00EA1CA4">
        <w:rPr>
          <w:rFonts w:ascii="Times New Roman" w:hAnsi="Times New Roman"/>
          <w:sz w:val="24"/>
          <w:szCs w:val="24"/>
          <w:lang w:val="sq-AL"/>
        </w:rPr>
        <w:t xml:space="preserve">imi, </w:t>
      </w:r>
      <w:r w:rsidRPr="00EA1CA4">
        <w:rPr>
          <w:rFonts w:ascii="Times New Roman" w:hAnsi="Times New Roman"/>
          <w:sz w:val="24"/>
          <w:szCs w:val="24"/>
          <w:lang w:val="sq-AL"/>
        </w:rPr>
        <w:t>sipas nevojës</w:t>
      </w:r>
      <w:r w:rsidR="00081E3C" w:rsidRPr="00EA1CA4">
        <w:rPr>
          <w:rFonts w:ascii="Times New Roman" w:hAnsi="Times New Roman"/>
          <w:sz w:val="24"/>
          <w:szCs w:val="24"/>
          <w:lang w:val="sq-AL"/>
        </w:rPr>
        <w:t>,</w:t>
      </w:r>
      <w:r w:rsidRPr="00EA1CA4">
        <w:rPr>
          <w:rFonts w:ascii="Times New Roman" w:hAnsi="Times New Roman"/>
          <w:sz w:val="24"/>
          <w:szCs w:val="24"/>
          <w:lang w:val="sq-AL"/>
        </w:rPr>
        <w:t xml:space="preserve"> </w:t>
      </w:r>
      <w:r w:rsidR="00081E3C" w:rsidRPr="00EA1CA4">
        <w:rPr>
          <w:rFonts w:ascii="Times New Roman" w:hAnsi="Times New Roman"/>
          <w:sz w:val="24"/>
          <w:szCs w:val="24"/>
          <w:lang w:val="sq-AL"/>
        </w:rPr>
        <w:t xml:space="preserve">i </w:t>
      </w:r>
      <w:r w:rsidRPr="00EA1CA4">
        <w:rPr>
          <w:rFonts w:ascii="Times New Roman" w:hAnsi="Times New Roman"/>
          <w:sz w:val="24"/>
          <w:szCs w:val="24"/>
          <w:lang w:val="sq-AL"/>
        </w:rPr>
        <w:t>Udhëzime</w:t>
      </w:r>
      <w:r w:rsidR="00081E3C" w:rsidRPr="00EA1CA4">
        <w:rPr>
          <w:rFonts w:ascii="Times New Roman" w:hAnsi="Times New Roman"/>
          <w:sz w:val="24"/>
          <w:szCs w:val="24"/>
          <w:lang w:val="sq-AL"/>
        </w:rPr>
        <w:t xml:space="preserve">ve </w:t>
      </w:r>
      <w:r w:rsidRPr="00EA1CA4">
        <w:rPr>
          <w:rFonts w:ascii="Times New Roman" w:hAnsi="Times New Roman"/>
          <w:sz w:val="24"/>
          <w:szCs w:val="24"/>
          <w:lang w:val="sq-AL"/>
        </w:rPr>
        <w:t>Klinike dhe Protokolle</w:t>
      </w:r>
      <w:r w:rsidR="00081E3C" w:rsidRPr="00EA1CA4">
        <w:rPr>
          <w:rFonts w:ascii="Times New Roman" w:hAnsi="Times New Roman"/>
          <w:sz w:val="24"/>
          <w:szCs w:val="24"/>
          <w:lang w:val="sq-AL"/>
        </w:rPr>
        <w:t xml:space="preserve">ve </w:t>
      </w:r>
      <w:r w:rsidRPr="00EA1CA4">
        <w:rPr>
          <w:rFonts w:ascii="Times New Roman" w:hAnsi="Times New Roman"/>
          <w:sz w:val="24"/>
          <w:szCs w:val="24"/>
          <w:lang w:val="sq-AL"/>
        </w:rPr>
        <w:t xml:space="preserve">mbi </w:t>
      </w:r>
      <w:r w:rsidR="00081E3C" w:rsidRPr="00EA1CA4">
        <w:rPr>
          <w:rFonts w:ascii="Times New Roman" w:hAnsi="Times New Roman"/>
          <w:sz w:val="24"/>
          <w:szCs w:val="24"/>
          <w:lang w:val="sq-AL"/>
        </w:rPr>
        <w:t>a</w:t>
      </w:r>
      <w:r w:rsidRPr="00EA1CA4">
        <w:rPr>
          <w:rFonts w:ascii="Times New Roman" w:hAnsi="Times New Roman"/>
          <w:sz w:val="24"/>
          <w:szCs w:val="24"/>
          <w:lang w:val="sq-AL"/>
        </w:rPr>
        <w:t>spektet programatike dhe të menaxhimit të rasteve të TB-së (menaxhimi për TB pulmonar</w:t>
      </w:r>
      <w:r w:rsidR="00081E3C" w:rsidRPr="00EA1CA4">
        <w:rPr>
          <w:rFonts w:ascii="Times New Roman" w:hAnsi="Times New Roman"/>
          <w:sz w:val="24"/>
          <w:szCs w:val="24"/>
          <w:lang w:val="sq-AL"/>
        </w:rPr>
        <w:t>e</w:t>
      </w:r>
      <w:r w:rsidRPr="00EA1CA4">
        <w:rPr>
          <w:rFonts w:ascii="Times New Roman" w:hAnsi="Times New Roman"/>
          <w:sz w:val="24"/>
          <w:szCs w:val="24"/>
          <w:lang w:val="sq-AL"/>
        </w:rPr>
        <w:t xml:space="preserve"> dhe ekstra-pulmonar</w:t>
      </w:r>
      <w:r w:rsidR="00081E3C" w:rsidRPr="00EA1CA4">
        <w:rPr>
          <w:rFonts w:ascii="Times New Roman" w:hAnsi="Times New Roman"/>
          <w:sz w:val="24"/>
          <w:szCs w:val="24"/>
          <w:lang w:val="sq-AL"/>
        </w:rPr>
        <w:t>e</w:t>
      </w:r>
      <w:r w:rsidRPr="00EA1CA4">
        <w:rPr>
          <w:rFonts w:ascii="Times New Roman" w:hAnsi="Times New Roman"/>
          <w:sz w:val="24"/>
          <w:szCs w:val="24"/>
          <w:lang w:val="sq-AL"/>
        </w:rPr>
        <w:t>, menaxhimi klinik i rasteve X/MDR-TB, siguria aktive e barnave kundër TB</w:t>
      </w:r>
      <w:r w:rsidR="00081E3C" w:rsidRPr="00EA1CA4">
        <w:rPr>
          <w:rFonts w:ascii="Times New Roman" w:hAnsi="Times New Roman"/>
          <w:sz w:val="24"/>
          <w:szCs w:val="24"/>
          <w:lang w:val="sq-AL"/>
        </w:rPr>
        <w:t>-së</w:t>
      </w:r>
      <w:r w:rsidRPr="00EA1CA4">
        <w:rPr>
          <w:rFonts w:ascii="Times New Roman" w:hAnsi="Times New Roman"/>
          <w:sz w:val="24"/>
          <w:szCs w:val="24"/>
          <w:lang w:val="sq-AL"/>
        </w:rPr>
        <w:t xml:space="preserve"> dhe monitorimi (ADSM) i MDR</w:t>
      </w:r>
      <w:r w:rsidR="00081E3C" w:rsidRPr="00EA1CA4">
        <w:rPr>
          <w:rFonts w:ascii="Times New Roman" w:hAnsi="Times New Roman"/>
          <w:sz w:val="24"/>
          <w:szCs w:val="24"/>
          <w:lang w:val="sq-AL"/>
        </w:rPr>
        <w:t>-</w:t>
      </w:r>
      <w:r w:rsidRPr="00EA1CA4">
        <w:rPr>
          <w:rFonts w:ascii="Times New Roman" w:hAnsi="Times New Roman"/>
          <w:sz w:val="24"/>
          <w:szCs w:val="24"/>
          <w:lang w:val="sq-AL"/>
        </w:rPr>
        <w:t>TB; kontrolli i infek</w:t>
      </w:r>
      <w:r w:rsidR="00081E3C" w:rsidRPr="00EA1CA4">
        <w:rPr>
          <w:rFonts w:ascii="Times New Roman" w:hAnsi="Times New Roman"/>
          <w:sz w:val="24"/>
          <w:szCs w:val="24"/>
          <w:lang w:val="sq-AL"/>
        </w:rPr>
        <w:t>timit</w:t>
      </w:r>
      <w:r w:rsidRPr="00EA1CA4">
        <w:rPr>
          <w:rFonts w:ascii="Times New Roman" w:hAnsi="Times New Roman"/>
          <w:sz w:val="24"/>
          <w:szCs w:val="24"/>
          <w:lang w:val="sq-AL"/>
        </w:rPr>
        <w:t xml:space="preserve">, udhëzimet laboratorike të TB-së, protokollet dhe </w:t>
      </w:r>
      <w:r w:rsidR="00081E3C" w:rsidRPr="00EA1CA4">
        <w:rPr>
          <w:rFonts w:ascii="Times New Roman" w:hAnsi="Times New Roman"/>
          <w:sz w:val="24"/>
          <w:szCs w:val="24"/>
          <w:lang w:val="sq-AL"/>
        </w:rPr>
        <w:t>PSO</w:t>
      </w:r>
      <w:r w:rsidRPr="00EA1CA4">
        <w:rPr>
          <w:rFonts w:ascii="Times New Roman" w:hAnsi="Times New Roman"/>
          <w:sz w:val="24"/>
          <w:szCs w:val="24"/>
          <w:lang w:val="sq-AL"/>
        </w:rPr>
        <w:t>-të, TB dhe sëmundjet shoqëruese</w:t>
      </w:r>
      <w:r w:rsidR="00081E3C" w:rsidRPr="00EA1CA4">
        <w:rPr>
          <w:rFonts w:ascii="Times New Roman" w:hAnsi="Times New Roman"/>
          <w:sz w:val="24"/>
          <w:szCs w:val="24"/>
          <w:lang w:val="sq-AL"/>
        </w:rPr>
        <w:t>,</w:t>
      </w:r>
      <w:r w:rsidR="00AC60C6" w:rsidRPr="00EA1CA4">
        <w:rPr>
          <w:rFonts w:ascii="Times New Roman" w:hAnsi="Times New Roman"/>
          <w:color w:val="1D2228"/>
          <w:sz w:val="24"/>
          <w:szCs w:val="24"/>
          <w:shd w:val="clear" w:color="auto" w:fill="FFFFFF"/>
          <w:lang w:val="sq-AL"/>
        </w:rPr>
        <w:t>rishikimi i protokolleve për trajtim të TB në burgje.</w:t>
      </w:r>
      <w:r w:rsidRPr="00EA1CA4">
        <w:rPr>
          <w:rFonts w:ascii="Times New Roman" w:hAnsi="Times New Roman"/>
          <w:sz w:val="24"/>
          <w:szCs w:val="24"/>
          <w:lang w:val="sq-AL"/>
        </w:rPr>
        <w:t xml:space="preserve"> etj.)</w:t>
      </w:r>
      <w:r w:rsidR="001630A3" w:rsidRPr="00EA1CA4">
        <w:rPr>
          <w:rFonts w:ascii="Times New Roman" w:hAnsi="Times New Roman"/>
          <w:sz w:val="24"/>
          <w:szCs w:val="24"/>
          <w:lang w:val="sq-AL"/>
        </w:rPr>
        <w:t>.</w:t>
      </w:r>
    </w:p>
    <w:p w:rsidR="00081E3C" w:rsidRPr="00EA1CA4" w:rsidRDefault="00081E3C" w:rsidP="00624E04">
      <w:pPr>
        <w:spacing w:line="276" w:lineRule="auto"/>
        <w:jc w:val="both"/>
        <w:rPr>
          <w:b/>
        </w:rPr>
      </w:pPr>
      <w:bookmarkStart w:id="22" w:name="_Toc93005245"/>
    </w:p>
    <w:p w:rsidR="001630A3" w:rsidRPr="00EA1CA4" w:rsidRDefault="00AA2F50" w:rsidP="00624E04">
      <w:pPr>
        <w:spacing w:line="276" w:lineRule="auto"/>
        <w:jc w:val="both"/>
        <w:rPr>
          <w:b/>
        </w:rPr>
      </w:pPr>
      <w:r w:rsidRPr="00EA1CA4">
        <w:rPr>
          <w:b/>
        </w:rPr>
        <w:t>Rezultati 1.2 Forc</w:t>
      </w:r>
      <w:r w:rsidR="00081E3C" w:rsidRPr="00EA1CA4">
        <w:rPr>
          <w:b/>
        </w:rPr>
        <w:t xml:space="preserve">imi i </w:t>
      </w:r>
      <w:r w:rsidRPr="00EA1CA4">
        <w:rPr>
          <w:b/>
        </w:rPr>
        <w:t>parandalimi</w:t>
      </w:r>
      <w:r w:rsidR="00081E3C" w:rsidRPr="00EA1CA4">
        <w:rPr>
          <w:b/>
        </w:rPr>
        <w:t>t</w:t>
      </w:r>
      <w:r w:rsidRPr="00EA1CA4">
        <w:rPr>
          <w:b/>
        </w:rPr>
        <w:t xml:space="preserve"> dhe zbulimi</w:t>
      </w:r>
      <w:r w:rsidR="00081E3C" w:rsidRPr="00EA1CA4">
        <w:rPr>
          <w:b/>
        </w:rPr>
        <w:t>t</w:t>
      </w:r>
      <w:r w:rsidRPr="00EA1CA4">
        <w:rPr>
          <w:b/>
        </w:rPr>
        <w:t xml:space="preserve"> </w:t>
      </w:r>
      <w:r w:rsidR="00081E3C" w:rsidRPr="00EA1CA4">
        <w:rPr>
          <w:b/>
        </w:rPr>
        <w:t>të</w:t>
      </w:r>
      <w:r w:rsidRPr="00EA1CA4">
        <w:rPr>
          <w:b/>
        </w:rPr>
        <w:t xml:space="preserve"> hershëm të TB</w:t>
      </w:r>
      <w:r w:rsidR="00081E3C" w:rsidRPr="00EA1CA4">
        <w:rPr>
          <w:b/>
        </w:rPr>
        <w:t>-së,</w:t>
      </w:r>
      <w:r w:rsidRPr="00EA1CA4">
        <w:rPr>
          <w:b/>
        </w:rPr>
        <w:t xml:space="preserve"> duke intensifikuar gjetjet</w:t>
      </w:r>
      <w:r w:rsidR="00376FAA" w:rsidRPr="00EA1CA4">
        <w:rPr>
          <w:b/>
        </w:rPr>
        <w:t xml:space="preserve"> aktive të rasteve dhe përmes</w:t>
      </w:r>
      <w:r w:rsidRPr="00EA1CA4">
        <w:rPr>
          <w:b/>
        </w:rPr>
        <w:t xml:space="preserve"> masave adekuate të kontrollit të infek</w:t>
      </w:r>
      <w:r w:rsidR="00081E3C" w:rsidRPr="00EA1CA4">
        <w:rPr>
          <w:b/>
        </w:rPr>
        <w:t>timit</w:t>
      </w:r>
      <w:r w:rsidR="001630A3" w:rsidRPr="00EA1CA4">
        <w:rPr>
          <w:b/>
        </w:rPr>
        <w:t>.</w:t>
      </w:r>
      <w:bookmarkEnd w:id="22"/>
    </w:p>
    <w:p w:rsidR="00D26204" w:rsidRPr="00EA1CA4" w:rsidRDefault="00D26204" w:rsidP="00624E04">
      <w:pPr>
        <w:autoSpaceDE w:val="0"/>
        <w:autoSpaceDN w:val="0"/>
        <w:adjustRightInd w:val="0"/>
        <w:spacing w:line="276" w:lineRule="auto"/>
        <w:jc w:val="both"/>
        <w:rPr>
          <w:b/>
          <w:i/>
        </w:rPr>
      </w:pPr>
    </w:p>
    <w:p w:rsidR="001630A3" w:rsidRPr="00EA1CA4" w:rsidRDefault="00AA2F50" w:rsidP="00624E04">
      <w:pPr>
        <w:autoSpaceDE w:val="0"/>
        <w:autoSpaceDN w:val="0"/>
        <w:adjustRightInd w:val="0"/>
        <w:spacing w:line="276" w:lineRule="auto"/>
        <w:jc w:val="both"/>
        <w:rPr>
          <w:b/>
          <w:i/>
        </w:rPr>
      </w:pPr>
      <w:r w:rsidRPr="00EA1CA4">
        <w:rPr>
          <w:b/>
          <w:i/>
        </w:rPr>
        <w:t>Aktivitetet e planifikuara</w:t>
      </w:r>
      <w:r w:rsidR="001630A3" w:rsidRPr="00EA1CA4">
        <w:rPr>
          <w:b/>
          <w:i/>
        </w:rPr>
        <w:t>:</w:t>
      </w:r>
    </w:p>
    <w:p w:rsidR="00AA2F50" w:rsidRPr="00EA1CA4" w:rsidRDefault="00AA2F50">
      <w:pPr>
        <w:pStyle w:val="ListParagraph"/>
        <w:numPr>
          <w:ilvl w:val="2"/>
          <w:numId w:val="5"/>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Përmirës</w:t>
      </w:r>
      <w:r w:rsidR="00BC1B24" w:rsidRPr="00EA1CA4">
        <w:rPr>
          <w:rFonts w:ascii="Times New Roman" w:hAnsi="Times New Roman"/>
          <w:sz w:val="24"/>
          <w:szCs w:val="24"/>
          <w:lang w:val="sq-AL"/>
        </w:rPr>
        <w:t xml:space="preserve">imi i </w:t>
      </w:r>
      <w:r w:rsidRPr="00EA1CA4">
        <w:rPr>
          <w:rFonts w:ascii="Times New Roman" w:hAnsi="Times New Roman"/>
          <w:sz w:val="24"/>
          <w:szCs w:val="24"/>
          <w:lang w:val="sq-AL"/>
        </w:rPr>
        <w:t>zbulimi</w:t>
      </w:r>
      <w:r w:rsidR="00BC1B24" w:rsidRPr="00EA1CA4">
        <w:rPr>
          <w:rFonts w:ascii="Times New Roman" w:hAnsi="Times New Roman"/>
          <w:sz w:val="24"/>
          <w:szCs w:val="24"/>
          <w:lang w:val="sq-AL"/>
        </w:rPr>
        <w:t>t</w:t>
      </w:r>
      <w:r w:rsidRPr="00EA1CA4">
        <w:rPr>
          <w:rFonts w:ascii="Times New Roman" w:hAnsi="Times New Roman"/>
          <w:sz w:val="24"/>
          <w:szCs w:val="24"/>
          <w:lang w:val="sq-AL"/>
        </w:rPr>
        <w:t xml:space="preserve"> </w:t>
      </w:r>
      <w:r w:rsidR="00BC1B24" w:rsidRPr="00EA1CA4">
        <w:rPr>
          <w:rFonts w:ascii="Times New Roman" w:hAnsi="Times New Roman"/>
          <w:sz w:val="24"/>
          <w:szCs w:val="24"/>
          <w:lang w:val="sq-AL"/>
        </w:rPr>
        <w:t>të</w:t>
      </w:r>
      <w:r w:rsidRPr="00EA1CA4">
        <w:rPr>
          <w:rFonts w:ascii="Times New Roman" w:hAnsi="Times New Roman"/>
          <w:sz w:val="24"/>
          <w:szCs w:val="24"/>
          <w:lang w:val="sq-AL"/>
        </w:rPr>
        <w:t xml:space="preserve"> hershëm përmes </w:t>
      </w:r>
      <w:r w:rsidR="00BC1B24" w:rsidRPr="00EA1CA4">
        <w:rPr>
          <w:rFonts w:ascii="Times New Roman" w:hAnsi="Times New Roman"/>
          <w:sz w:val="24"/>
          <w:szCs w:val="24"/>
          <w:lang w:val="sq-AL"/>
        </w:rPr>
        <w:t>sigurimit t</w:t>
      </w:r>
      <w:r w:rsidRPr="00EA1CA4">
        <w:rPr>
          <w:rFonts w:ascii="Times New Roman" w:hAnsi="Times New Roman"/>
          <w:sz w:val="24"/>
          <w:szCs w:val="24"/>
          <w:lang w:val="sq-AL"/>
        </w:rPr>
        <w:t xml:space="preserve">ë </w:t>
      </w:r>
      <w:r w:rsidR="00BC1B24" w:rsidRPr="00EA1CA4">
        <w:rPr>
          <w:rFonts w:ascii="Times New Roman" w:hAnsi="Times New Roman"/>
          <w:sz w:val="24"/>
          <w:szCs w:val="24"/>
          <w:lang w:val="sq-AL"/>
        </w:rPr>
        <w:t xml:space="preserve">ekzaminimeve </w:t>
      </w:r>
      <w:r w:rsidRPr="00EA1CA4">
        <w:rPr>
          <w:rFonts w:ascii="Times New Roman" w:hAnsi="Times New Roman"/>
          <w:sz w:val="24"/>
          <w:szCs w:val="24"/>
          <w:lang w:val="sq-AL"/>
        </w:rPr>
        <w:t>të TB</w:t>
      </w:r>
      <w:r w:rsidR="00BC1B24" w:rsidRPr="00EA1CA4">
        <w:rPr>
          <w:rFonts w:ascii="Times New Roman" w:hAnsi="Times New Roman"/>
          <w:sz w:val="24"/>
          <w:szCs w:val="24"/>
          <w:lang w:val="sq-AL"/>
        </w:rPr>
        <w:t>-së</w:t>
      </w:r>
      <w:r w:rsidRPr="00EA1CA4">
        <w:rPr>
          <w:rFonts w:ascii="Times New Roman" w:hAnsi="Times New Roman"/>
          <w:sz w:val="24"/>
          <w:szCs w:val="24"/>
          <w:lang w:val="sq-AL"/>
        </w:rPr>
        <w:t xml:space="preserve"> </w:t>
      </w:r>
      <w:r w:rsidR="00BC1B24" w:rsidRPr="00EA1CA4">
        <w:rPr>
          <w:rFonts w:ascii="Times New Roman" w:hAnsi="Times New Roman"/>
          <w:sz w:val="24"/>
          <w:szCs w:val="24"/>
          <w:lang w:val="sq-AL"/>
        </w:rPr>
        <w:t>në mesin e</w:t>
      </w:r>
      <w:r w:rsidRPr="00EA1CA4">
        <w:rPr>
          <w:rFonts w:ascii="Times New Roman" w:hAnsi="Times New Roman"/>
          <w:sz w:val="24"/>
          <w:szCs w:val="24"/>
          <w:lang w:val="sq-AL"/>
        </w:rPr>
        <w:t xml:space="preserve"> popullatave të cenueshme /me rrezik të lartë</w:t>
      </w:r>
      <w:r w:rsidR="00BC1B24" w:rsidRPr="00EA1CA4">
        <w:rPr>
          <w:rFonts w:ascii="Times New Roman" w:hAnsi="Times New Roman"/>
          <w:sz w:val="24"/>
          <w:szCs w:val="24"/>
          <w:lang w:val="sq-AL"/>
        </w:rPr>
        <w:t>,</w:t>
      </w:r>
      <w:r w:rsidRPr="00EA1CA4">
        <w:rPr>
          <w:rFonts w:ascii="Times New Roman" w:hAnsi="Times New Roman"/>
          <w:sz w:val="24"/>
          <w:szCs w:val="24"/>
          <w:lang w:val="sq-AL"/>
        </w:rPr>
        <w:t xml:space="preserve"> bazuar në standardet më të mira ndërkombëtare</w:t>
      </w:r>
    </w:p>
    <w:p w:rsidR="00AA2F50" w:rsidRPr="00EA1CA4" w:rsidRDefault="00BC1B24">
      <w:pPr>
        <w:pStyle w:val="ListParagraph"/>
        <w:numPr>
          <w:ilvl w:val="2"/>
          <w:numId w:val="5"/>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Sigurimi i </w:t>
      </w:r>
      <w:r w:rsidR="00AA2F50" w:rsidRPr="00EA1CA4">
        <w:rPr>
          <w:rFonts w:ascii="Times New Roman" w:hAnsi="Times New Roman"/>
          <w:sz w:val="24"/>
          <w:szCs w:val="24"/>
          <w:lang w:val="sq-AL"/>
        </w:rPr>
        <w:t>ekzaminime</w:t>
      </w:r>
      <w:r w:rsidRPr="00EA1CA4">
        <w:rPr>
          <w:rFonts w:ascii="Times New Roman" w:hAnsi="Times New Roman"/>
          <w:sz w:val="24"/>
          <w:szCs w:val="24"/>
          <w:lang w:val="sq-AL"/>
        </w:rPr>
        <w:t>ve</w:t>
      </w:r>
      <w:r w:rsidR="00AA2F50" w:rsidRPr="00EA1CA4">
        <w:rPr>
          <w:rFonts w:ascii="Times New Roman" w:hAnsi="Times New Roman"/>
          <w:sz w:val="24"/>
          <w:szCs w:val="24"/>
          <w:lang w:val="sq-AL"/>
        </w:rPr>
        <w:t xml:space="preserve"> </w:t>
      </w:r>
      <w:r w:rsidRPr="00EA1CA4">
        <w:rPr>
          <w:rFonts w:ascii="Times New Roman" w:hAnsi="Times New Roman"/>
          <w:sz w:val="24"/>
          <w:szCs w:val="24"/>
          <w:lang w:val="sq-AL"/>
        </w:rPr>
        <w:t>të</w:t>
      </w:r>
      <w:r w:rsidR="00AA2F50" w:rsidRPr="00EA1CA4">
        <w:rPr>
          <w:rFonts w:ascii="Times New Roman" w:hAnsi="Times New Roman"/>
          <w:sz w:val="24"/>
          <w:szCs w:val="24"/>
          <w:lang w:val="sq-AL"/>
        </w:rPr>
        <w:t xml:space="preserve"> TB</w:t>
      </w:r>
      <w:r w:rsidRPr="00EA1CA4">
        <w:rPr>
          <w:rFonts w:ascii="Times New Roman" w:hAnsi="Times New Roman"/>
          <w:sz w:val="24"/>
          <w:szCs w:val="24"/>
          <w:lang w:val="sq-AL"/>
        </w:rPr>
        <w:t>-së</w:t>
      </w:r>
      <w:r w:rsidR="00AA2F50" w:rsidRPr="00EA1CA4">
        <w:rPr>
          <w:rFonts w:ascii="Times New Roman" w:hAnsi="Times New Roman"/>
          <w:sz w:val="24"/>
          <w:szCs w:val="24"/>
          <w:lang w:val="sq-AL"/>
        </w:rPr>
        <w:t xml:space="preserve"> për anëtarët e </w:t>
      </w:r>
      <w:r w:rsidRPr="00EA1CA4">
        <w:rPr>
          <w:rFonts w:ascii="Times New Roman" w:hAnsi="Times New Roman"/>
          <w:sz w:val="24"/>
          <w:szCs w:val="24"/>
          <w:lang w:val="sq-AL"/>
        </w:rPr>
        <w:t xml:space="preserve">ekonomive familjare </w:t>
      </w:r>
      <w:r w:rsidR="00AA2F50" w:rsidRPr="00EA1CA4">
        <w:rPr>
          <w:rFonts w:ascii="Times New Roman" w:hAnsi="Times New Roman"/>
          <w:sz w:val="24"/>
          <w:szCs w:val="24"/>
          <w:lang w:val="sq-AL"/>
        </w:rPr>
        <w:t>dhe kontaktet e ngushta të pacientëve me TB aktive</w:t>
      </w:r>
    </w:p>
    <w:p w:rsidR="00AA2F50" w:rsidRPr="00EA1CA4" w:rsidRDefault="00376FAA">
      <w:pPr>
        <w:pStyle w:val="ListParagraph"/>
        <w:numPr>
          <w:ilvl w:val="2"/>
          <w:numId w:val="5"/>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Sigur</w:t>
      </w:r>
      <w:r w:rsidR="00BC1B24" w:rsidRPr="00EA1CA4">
        <w:rPr>
          <w:rFonts w:ascii="Times New Roman" w:hAnsi="Times New Roman"/>
          <w:sz w:val="24"/>
          <w:szCs w:val="24"/>
          <w:lang w:val="sq-AL"/>
        </w:rPr>
        <w:t xml:space="preserve">imi i </w:t>
      </w:r>
      <w:r w:rsidRPr="00EA1CA4">
        <w:rPr>
          <w:rFonts w:ascii="Times New Roman" w:hAnsi="Times New Roman"/>
          <w:sz w:val="24"/>
          <w:szCs w:val="24"/>
          <w:lang w:val="sq-AL"/>
        </w:rPr>
        <w:t>aktivitete</w:t>
      </w:r>
      <w:r w:rsidR="00BC1B24" w:rsidRPr="00EA1CA4">
        <w:rPr>
          <w:rFonts w:ascii="Times New Roman" w:hAnsi="Times New Roman"/>
          <w:sz w:val="24"/>
          <w:szCs w:val="24"/>
          <w:lang w:val="sq-AL"/>
        </w:rPr>
        <w:t>ve</w:t>
      </w:r>
      <w:r w:rsidR="00AA2F50" w:rsidRPr="00EA1CA4">
        <w:rPr>
          <w:rFonts w:ascii="Times New Roman" w:hAnsi="Times New Roman"/>
          <w:sz w:val="24"/>
          <w:szCs w:val="24"/>
          <w:lang w:val="sq-AL"/>
        </w:rPr>
        <w:t xml:space="preserve"> për gjetjen e rasteve aktive në zonat me ngarkesë të lartë për TB</w:t>
      </w:r>
    </w:p>
    <w:p w:rsidR="00AA2F50" w:rsidRPr="00EA1CA4" w:rsidRDefault="00AA2F50">
      <w:pPr>
        <w:pStyle w:val="ListParagraph"/>
        <w:numPr>
          <w:ilvl w:val="2"/>
          <w:numId w:val="5"/>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Sigur</w:t>
      </w:r>
      <w:r w:rsidR="00BC1B24" w:rsidRPr="00EA1CA4">
        <w:rPr>
          <w:rFonts w:ascii="Times New Roman" w:hAnsi="Times New Roman"/>
          <w:sz w:val="24"/>
          <w:szCs w:val="24"/>
          <w:lang w:val="sq-AL"/>
        </w:rPr>
        <w:t xml:space="preserve">imi i </w:t>
      </w:r>
      <w:r w:rsidRPr="00EA1CA4">
        <w:rPr>
          <w:rFonts w:ascii="Times New Roman" w:hAnsi="Times New Roman"/>
          <w:sz w:val="24"/>
          <w:szCs w:val="24"/>
          <w:lang w:val="sq-AL"/>
        </w:rPr>
        <w:t>ekzaminimi</w:t>
      </w:r>
      <w:r w:rsidR="00BC1B24" w:rsidRPr="00EA1CA4">
        <w:rPr>
          <w:rFonts w:ascii="Times New Roman" w:hAnsi="Times New Roman"/>
          <w:sz w:val="24"/>
          <w:szCs w:val="24"/>
          <w:lang w:val="sq-AL"/>
        </w:rPr>
        <w:t>t</w:t>
      </w:r>
      <w:r w:rsidRPr="00EA1CA4">
        <w:rPr>
          <w:rFonts w:ascii="Times New Roman" w:hAnsi="Times New Roman"/>
          <w:sz w:val="24"/>
          <w:szCs w:val="24"/>
          <w:lang w:val="sq-AL"/>
        </w:rPr>
        <w:t xml:space="preserve"> për trajtimin parandalues të </w:t>
      </w:r>
      <w:r w:rsidR="00CD68E0" w:rsidRPr="00EA1CA4">
        <w:rPr>
          <w:rFonts w:ascii="Times New Roman" w:hAnsi="Times New Roman"/>
          <w:sz w:val="24"/>
          <w:szCs w:val="24"/>
          <w:lang w:val="sq-AL"/>
        </w:rPr>
        <w:t>Infeksioneve Latente të TB-së (</w:t>
      </w:r>
      <w:r w:rsidR="002070A5" w:rsidRPr="00EA1CA4">
        <w:rPr>
          <w:rFonts w:ascii="Times New Roman" w:hAnsi="Times New Roman"/>
          <w:sz w:val="24"/>
          <w:szCs w:val="24"/>
          <w:lang w:val="sq-AL"/>
        </w:rPr>
        <w:t>I</w:t>
      </w:r>
      <w:r w:rsidRPr="00EA1CA4">
        <w:rPr>
          <w:rFonts w:ascii="Times New Roman" w:hAnsi="Times New Roman"/>
          <w:sz w:val="24"/>
          <w:szCs w:val="24"/>
          <w:lang w:val="sq-AL"/>
        </w:rPr>
        <w:t>LTB</w:t>
      </w:r>
      <w:r w:rsidR="00CD68E0" w:rsidRPr="00EA1CA4">
        <w:rPr>
          <w:rFonts w:ascii="Times New Roman" w:hAnsi="Times New Roman"/>
          <w:sz w:val="24"/>
          <w:szCs w:val="24"/>
          <w:lang w:val="sq-AL"/>
        </w:rPr>
        <w:t>)</w:t>
      </w:r>
      <w:r w:rsidRPr="00EA1CA4">
        <w:rPr>
          <w:rFonts w:ascii="Times New Roman" w:hAnsi="Times New Roman"/>
          <w:sz w:val="24"/>
          <w:szCs w:val="24"/>
          <w:lang w:val="sq-AL"/>
        </w:rPr>
        <w:t xml:space="preserve"> dhe TB për të gjithë pacientët me </w:t>
      </w:r>
      <w:r w:rsidR="002070A5" w:rsidRPr="00EA1CA4">
        <w:rPr>
          <w:rFonts w:ascii="Times New Roman" w:hAnsi="Times New Roman"/>
          <w:sz w:val="24"/>
          <w:szCs w:val="24"/>
          <w:lang w:val="sq-AL"/>
        </w:rPr>
        <w:t>I</w:t>
      </w:r>
      <w:r w:rsidR="00CD68E0" w:rsidRPr="00EA1CA4">
        <w:rPr>
          <w:rFonts w:ascii="Times New Roman" w:hAnsi="Times New Roman"/>
          <w:sz w:val="24"/>
          <w:szCs w:val="24"/>
          <w:lang w:val="sq-AL"/>
        </w:rPr>
        <w:t>LTB.</w:t>
      </w:r>
    </w:p>
    <w:p w:rsidR="00AA2F50" w:rsidRPr="00EA1CA4" w:rsidRDefault="00AA2F50">
      <w:pPr>
        <w:pStyle w:val="ListParagraph"/>
        <w:numPr>
          <w:ilvl w:val="2"/>
          <w:numId w:val="5"/>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Përmirës</w:t>
      </w:r>
      <w:r w:rsidR="00BC1B24" w:rsidRPr="00EA1CA4">
        <w:rPr>
          <w:rFonts w:ascii="Times New Roman" w:hAnsi="Times New Roman"/>
          <w:sz w:val="24"/>
          <w:szCs w:val="24"/>
          <w:lang w:val="sq-AL"/>
        </w:rPr>
        <w:t xml:space="preserve">imi i </w:t>
      </w:r>
      <w:r w:rsidRPr="00EA1CA4">
        <w:rPr>
          <w:rFonts w:ascii="Times New Roman" w:hAnsi="Times New Roman"/>
          <w:sz w:val="24"/>
          <w:szCs w:val="24"/>
          <w:lang w:val="sq-AL"/>
        </w:rPr>
        <w:t>parandalimi</w:t>
      </w:r>
      <w:r w:rsidR="00BC1B24" w:rsidRPr="00EA1CA4">
        <w:rPr>
          <w:rFonts w:ascii="Times New Roman" w:hAnsi="Times New Roman"/>
          <w:sz w:val="24"/>
          <w:szCs w:val="24"/>
          <w:lang w:val="sq-AL"/>
        </w:rPr>
        <w:t>t</w:t>
      </w:r>
      <w:r w:rsidRPr="00EA1CA4">
        <w:rPr>
          <w:rFonts w:ascii="Times New Roman" w:hAnsi="Times New Roman"/>
          <w:sz w:val="24"/>
          <w:szCs w:val="24"/>
          <w:lang w:val="sq-AL"/>
        </w:rPr>
        <w:t>, diagnostikimi</w:t>
      </w:r>
      <w:r w:rsidR="00BC1B24" w:rsidRPr="00EA1CA4">
        <w:rPr>
          <w:rFonts w:ascii="Times New Roman" w:hAnsi="Times New Roman"/>
          <w:sz w:val="24"/>
          <w:szCs w:val="24"/>
          <w:lang w:val="sq-AL"/>
        </w:rPr>
        <w:t>t</w:t>
      </w:r>
      <w:r w:rsidRPr="00EA1CA4">
        <w:rPr>
          <w:rFonts w:ascii="Times New Roman" w:hAnsi="Times New Roman"/>
          <w:sz w:val="24"/>
          <w:szCs w:val="24"/>
          <w:lang w:val="sq-AL"/>
        </w:rPr>
        <w:t xml:space="preserve"> dhe trajtimi</w:t>
      </w:r>
      <w:r w:rsidR="00BC1B24" w:rsidRPr="00EA1CA4">
        <w:rPr>
          <w:rFonts w:ascii="Times New Roman" w:hAnsi="Times New Roman"/>
          <w:sz w:val="24"/>
          <w:szCs w:val="24"/>
          <w:lang w:val="sq-AL"/>
        </w:rPr>
        <w:t>t</w:t>
      </w:r>
      <w:r w:rsidRPr="00EA1CA4">
        <w:rPr>
          <w:rFonts w:ascii="Times New Roman" w:hAnsi="Times New Roman"/>
          <w:sz w:val="24"/>
          <w:szCs w:val="24"/>
          <w:lang w:val="sq-AL"/>
        </w:rPr>
        <w:t xml:space="preserve"> </w:t>
      </w:r>
      <w:r w:rsidR="00BC1B24" w:rsidRPr="00EA1CA4">
        <w:rPr>
          <w:rFonts w:ascii="Times New Roman" w:hAnsi="Times New Roman"/>
          <w:sz w:val="24"/>
          <w:szCs w:val="24"/>
          <w:lang w:val="sq-AL"/>
        </w:rPr>
        <w:t>të</w:t>
      </w:r>
      <w:r w:rsidRPr="00EA1CA4">
        <w:rPr>
          <w:rFonts w:ascii="Times New Roman" w:hAnsi="Times New Roman"/>
          <w:sz w:val="24"/>
          <w:szCs w:val="24"/>
          <w:lang w:val="sq-AL"/>
        </w:rPr>
        <w:t xml:space="preserve"> TB</w:t>
      </w:r>
      <w:r w:rsidR="00BC1B24" w:rsidRPr="00EA1CA4">
        <w:rPr>
          <w:rFonts w:ascii="Times New Roman" w:hAnsi="Times New Roman"/>
          <w:sz w:val="24"/>
          <w:szCs w:val="24"/>
          <w:lang w:val="sq-AL"/>
        </w:rPr>
        <w:t>-së</w:t>
      </w:r>
      <w:r w:rsidRPr="00EA1CA4">
        <w:rPr>
          <w:rFonts w:ascii="Times New Roman" w:hAnsi="Times New Roman"/>
          <w:sz w:val="24"/>
          <w:szCs w:val="24"/>
          <w:lang w:val="sq-AL"/>
        </w:rPr>
        <w:t xml:space="preserve"> tek fëmijët</w:t>
      </w:r>
    </w:p>
    <w:p w:rsidR="00AA2F50" w:rsidRPr="00EA1CA4" w:rsidRDefault="002070A5">
      <w:pPr>
        <w:pStyle w:val="ListParagraph"/>
        <w:numPr>
          <w:ilvl w:val="2"/>
          <w:numId w:val="5"/>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Përmirësimi i menaxhimit dhe koordinimit të rasteve të TB-së në mjediset korrektuese, duke përfshirë ndërhyrjet për ngritjen e kapaciteteve të stafit të burgjeve</w:t>
      </w:r>
    </w:p>
    <w:p w:rsidR="002070A5" w:rsidRPr="00EA1CA4" w:rsidRDefault="002070A5">
      <w:pPr>
        <w:pStyle w:val="ListParagraph"/>
        <w:numPr>
          <w:ilvl w:val="2"/>
          <w:numId w:val="5"/>
        </w:numPr>
        <w:spacing w:line="276" w:lineRule="auto"/>
        <w:jc w:val="both"/>
        <w:rPr>
          <w:rFonts w:ascii="Times New Roman" w:hAnsi="Times New Roman"/>
          <w:sz w:val="24"/>
          <w:szCs w:val="24"/>
          <w:lang w:val="sq-AL"/>
        </w:rPr>
      </w:pPr>
      <w:r w:rsidRPr="00EA1CA4">
        <w:rPr>
          <w:rFonts w:ascii="Times New Roman" w:hAnsi="Times New Roman"/>
          <w:sz w:val="24"/>
          <w:szCs w:val="24"/>
          <w:lang w:val="sq-AL"/>
        </w:rPr>
        <w:lastRenderedPageBreak/>
        <w:t>Zbatimi i strategjisë kombëtare të kontrollit të infektimit në të gjitha objektet e Programit të TB-së</w:t>
      </w:r>
    </w:p>
    <w:p w:rsidR="00AA2F50" w:rsidRPr="00EA1CA4" w:rsidRDefault="002070A5">
      <w:pPr>
        <w:pStyle w:val="ListParagraph"/>
        <w:numPr>
          <w:ilvl w:val="2"/>
          <w:numId w:val="5"/>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Kryerja e ekzaminimit të TB-së tek punonjësit e kujdesit shëndetësor, duke synuar kryesisht stafin shëndetësor të qendrave shëndetësore të TB-së</w:t>
      </w:r>
    </w:p>
    <w:p w:rsidR="00AC60C6" w:rsidRPr="00EA1CA4" w:rsidRDefault="00AC60C6">
      <w:pPr>
        <w:pStyle w:val="ListParagraph"/>
        <w:numPr>
          <w:ilvl w:val="2"/>
          <w:numId w:val="5"/>
        </w:numPr>
        <w:spacing w:before="120" w:after="120" w:line="276" w:lineRule="auto"/>
        <w:jc w:val="both"/>
        <w:rPr>
          <w:rFonts w:ascii="Times New Roman" w:hAnsi="Times New Roman"/>
          <w:sz w:val="24"/>
          <w:szCs w:val="24"/>
          <w:lang w:val="sq-AL"/>
        </w:rPr>
      </w:pPr>
      <w:r w:rsidRPr="00EA1CA4">
        <w:rPr>
          <w:rFonts w:ascii="Times New Roman" w:hAnsi="Times New Roman"/>
          <w:color w:val="1D2228"/>
          <w:sz w:val="24"/>
          <w:szCs w:val="24"/>
          <w:shd w:val="clear" w:color="auto" w:fill="FFFFFF"/>
          <w:lang w:val="sq-AL"/>
        </w:rPr>
        <w:t> Testimi me PPD për të gjithë të burgosurit në pranim në Burgun e Dubravës dhe burgun e Lipjanit, për një periudhë një vjeçare</w:t>
      </w:r>
    </w:p>
    <w:p w:rsidR="00AC60C6" w:rsidRPr="00EA1CA4" w:rsidRDefault="00AC60C6">
      <w:pPr>
        <w:pStyle w:val="ListParagraph"/>
        <w:numPr>
          <w:ilvl w:val="2"/>
          <w:numId w:val="5"/>
        </w:numPr>
        <w:spacing w:before="120" w:after="120" w:line="276" w:lineRule="auto"/>
        <w:jc w:val="both"/>
        <w:rPr>
          <w:rFonts w:ascii="Times New Roman" w:hAnsi="Times New Roman"/>
          <w:sz w:val="24"/>
          <w:szCs w:val="24"/>
          <w:lang w:val="sq-AL"/>
        </w:rPr>
      </w:pPr>
      <w:r w:rsidRPr="00EA1CA4">
        <w:rPr>
          <w:rFonts w:ascii="Times New Roman" w:hAnsi="Times New Roman"/>
          <w:color w:val="1D2228"/>
          <w:sz w:val="24"/>
          <w:szCs w:val="24"/>
          <w:shd w:val="clear" w:color="auto" w:fill="FFFFFF"/>
          <w:lang w:val="sq-AL"/>
        </w:rPr>
        <w:t>RTG pulmo e të gjithë të burgosurve në Burgun e Dubravës, në pranim për një periudhë një vjeçare.</w:t>
      </w:r>
    </w:p>
    <w:p w:rsidR="001630A3" w:rsidRPr="00EA1CA4" w:rsidRDefault="00AA2F50">
      <w:pPr>
        <w:pStyle w:val="ListParagraph"/>
        <w:numPr>
          <w:ilvl w:val="2"/>
          <w:numId w:val="5"/>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Sigur</w:t>
      </w:r>
      <w:r w:rsidR="00BC1B24" w:rsidRPr="00EA1CA4">
        <w:rPr>
          <w:rFonts w:ascii="Times New Roman" w:hAnsi="Times New Roman"/>
          <w:sz w:val="24"/>
          <w:szCs w:val="24"/>
          <w:lang w:val="sq-AL"/>
        </w:rPr>
        <w:t xml:space="preserve">imi </w:t>
      </w:r>
      <w:r w:rsidRPr="00EA1CA4">
        <w:rPr>
          <w:rFonts w:ascii="Times New Roman" w:hAnsi="Times New Roman"/>
          <w:sz w:val="24"/>
          <w:szCs w:val="24"/>
          <w:lang w:val="sq-AL"/>
        </w:rPr>
        <w:t>dhe mirëmba</w:t>
      </w:r>
      <w:r w:rsidR="00BC1B24" w:rsidRPr="00EA1CA4">
        <w:rPr>
          <w:rFonts w:ascii="Times New Roman" w:hAnsi="Times New Roman"/>
          <w:sz w:val="24"/>
          <w:szCs w:val="24"/>
          <w:lang w:val="sq-AL"/>
        </w:rPr>
        <w:t xml:space="preserve">jtja e </w:t>
      </w:r>
      <w:r w:rsidRPr="00EA1CA4">
        <w:rPr>
          <w:rFonts w:ascii="Times New Roman" w:hAnsi="Times New Roman"/>
          <w:sz w:val="24"/>
          <w:szCs w:val="24"/>
          <w:lang w:val="sq-AL"/>
        </w:rPr>
        <w:t>vaksinimi</w:t>
      </w:r>
      <w:r w:rsidR="00BC1B24" w:rsidRPr="00EA1CA4">
        <w:rPr>
          <w:rFonts w:ascii="Times New Roman" w:hAnsi="Times New Roman"/>
          <w:sz w:val="24"/>
          <w:szCs w:val="24"/>
          <w:lang w:val="sq-AL"/>
        </w:rPr>
        <w:t>t</w:t>
      </w:r>
      <w:r w:rsidRPr="00EA1CA4">
        <w:rPr>
          <w:rFonts w:ascii="Times New Roman" w:hAnsi="Times New Roman"/>
          <w:sz w:val="24"/>
          <w:szCs w:val="24"/>
          <w:lang w:val="sq-AL"/>
        </w:rPr>
        <w:t xml:space="preserve"> universal për BCG</w:t>
      </w:r>
      <w:r w:rsidR="001630A3" w:rsidRPr="00EA1CA4">
        <w:rPr>
          <w:rFonts w:ascii="Times New Roman" w:hAnsi="Times New Roman"/>
          <w:sz w:val="24"/>
          <w:szCs w:val="24"/>
          <w:lang w:val="sq-AL"/>
        </w:rPr>
        <w:t>.</w:t>
      </w:r>
    </w:p>
    <w:p w:rsidR="00081E3C" w:rsidRPr="00EA1CA4" w:rsidRDefault="00081E3C" w:rsidP="00624E04">
      <w:pPr>
        <w:spacing w:line="276" w:lineRule="auto"/>
        <w:jc w:val="both"/>
        <w:rPr>
          <w:b/>
        </w:rPr>
      </w:pPr>
      <w:bookmarkStart w:id="23" w:name="_Toc93005246"/>
    </w:p>
    <w:p w:rsidR="001630A3" w:rsidRPr="00EA1CA4" w:rsidRDefault="00AA2F50" w:rsidP="00624E04">
      <w:pPr>
        <w:spacing w:line="276" w:lineRule="auto"/>
        <w:jc w:val="both"/>
        <w:rPr>
          <w:b/>
        </w:rPr>
      </w:pPr>
      <w:r w:rsidRPr="00EA1CA4">
        <w:rPr>
          <w:b/>
        </w:rPr>
        <w:t>Rezultati 1.3 Rri</w:t>
      </w:r>
      <w:r w:rsidR="002B3BE9" w:rsidRPr="00EA1CA4">
        <w:rPr>
          <w:b/>
        </w:rPr>
        <w:t>tja e</w:t>
      </w:r>
      <w:r w:rsidRPr="00EA1CA4">
        <w:rPr>
          <w:b/>
        </w:rPr>
        <w:t xml:space="preserve"> kapacitet</w:t>
      </w:r>
      <w:r w:rsidR="002B3BE9" w:rsidRPr="00EA1CA4">
        <w:rPr>
          <w:b/>
        </w:rPr>
        <w:t xml:space="preserve">eve </w:t>
      </w:r>
      <w:r w:rsidRPr="00EA1CA4">
        <w:rPr>
          <w:b/>
        </w:rPr>
        <w:t>laboratorik</w:t>
      </w:r>
      <w:r w:rsidR="002B3BE9" w:rsidRPr="00EA1CA4">
        <w:rPr>
          <w:b/>
        </w:rPr>
        <w:t>e</w:t>
      </w:r>
      <w:r w:rsidRPr="00EA1CA4">
        <w:rPr>
          <w:b/>
        </w:rPr>
        <w:t xml:space="preserve"> të TB</w:t>
      </w:r>
      <w:r w:rsidR="002B3BE9" w:rsidRPr="00EA1CA4">
        <w:rPr>
          <w:b/>
        </w:rPr>
        <w:t>-së,</w:t>
      </w:r>
      <w:r w:rsidRPr="00EA1CA4">
        <w:rPr>
          <w:b/>
        </w:rPr>
        <w:t xml:space="preserve"> duke </w:t>
      </w:r>
      <w:r w:rsidR="002B3BE9" w:rsidRPr="00EA1CA4">
        <w:rPr>
          <w:b/>
        </w:rPr>
        <w:t xml:space="preserve">aplikuar </w:t>
      </w:r>
      <w:r w:rsidRPr="00EA1CA4">
        <w:rPr>
          <w:b/>
        </w:rPr>
        <w:t>metoda të reja diagnostikuese</w:t>
      </w:r>
      <w:r w:rsidR="002B3BE9" w:rsidRPr="00EA1CA4">
        <w:rPr>
          <w:b/>
        </w:rPr>
        <w:t>,</w:t>
      </w:r>
      <w:r w:rsidRPr="00EA1CA4">
        <w:rPr>
          <w:b/>
        </w:rPr>
        <w:t xml:space="preserve"> duke zhvilluar shërbime diagnostikuese M/XDR-TB dhe duke përmirësuar Sigurimin e Jashtëm të Cilësisë (EQA</w:t>
      </w:r>
      <w:r w:rsidR="0074506B" w:rsidRPr="00EA1CA4">
        <w:rPr>
          <w:b/>
        </w:rPr>
        <w:t>)</w:t>
      </w:r>
      <w:bookmarkEnd w:id="23"/>
      <w:r w:rsidR="0074506B" w:rsidRPr="00EA1CA4">
        <w:rPr>
          <w:b/>
        </w:rPr>
        <w:t>.</w:t>
      </w:r>
    </w:p>
    <w:p w:rsidR="00D26204" w:rsidRPr="00EA1CA4" w:rsidRDefault="00D26204" w:rsidP="00624E04">
      <w:pPr>
        <w:spacing w:line="276" w:lineRule="auto"/>
        <w:jc w:val="both"/>
        <w:rPr>
          <w:b/>
          <w:i/>
        </w:rPr>
      </w:pPr>
    </w:p>
    <w:p w:rsidR="0074506B" w:rsidRPr="00EA1CA4" w:rsidRDefault="00AA2F50" w:rsidP="00624E04">
      <w:pPr>
        <w:spacing w:line="276" w:lineRule="auto"/>
        <w:jc w:val="both"/>
        <w:rPr>
          <w:b/>
          <w:i/>
        </w:rPr>
      </w:pPr>
      <w:r w:rsidRPr="00EA1CA4">
        <w:rPr>
          <w:b/>
          <w:i/>
        </w:rPr>
        <w:t>Aktivitetet e planifikuara</w:t>
      </w:r>
      <w:r w:rsidR="0074506B" w:rsidRPr="00EA1CA4">
        <w:rPr>
          <w:b/>
          <w:i/>
        </w:rPr>
        <w:t xml:space="preserve">: </w:t>
      </w:r>
    </w:p>
    <w:p w:rsidR="00AA2F50" w:rsidRPr="00EA1CA4" w:rsidRDefault="00AA2F50">
      <w:pPr>
        <w:pStyle w:val="ListParagraph"/>
        <w:numPr>
          <w:ilvl w:val="2"/>
          <w:numId w:val="7"/>
        </w:numPr>
        <w:spacing w:line="276" w:lineRule="auto"/>
        <w:jc w:val="both"/>
        <w:rPr>
          <w:rFonts w:ascii="Times New Roman" w:hAnsi="Times New Roman"/>
          <w:sz w:val="24"/>
          <w:szCs w:val="24"/>
          <w:lang w:val="sq-AL"/>
        </w:rPr>
      </w:pPr>
      <w:r w:rsidRPr="00EA1CA4">
        <w:rPr>
          <w:rFonts w:ascii="Times New Roman" w:hAnsi="Times New Roman"/>
          <w:sz w:val="24"/>
          <w:szCs w:val="24"/>
          <w:lang w:val="sq-AL"/>
        </w:rPr>
        <w:t>Rishik</w:t>
      </w:r>
      <w:r w:rsidR="002B3BE9" w:rsidRPr="00EA1CA4">
        <w:rPr>
          <w:rFonts w:ascii="Times New Roman" w:hAnsi="Times New Roman"/>
          <w:sz w:val="24"/>
          <w:szCs w:val="24"/>
          <w:lang w:val="sq-AL"/>
        </w:rPr>
        <w:t xml:space="preserve">imi </w:t>
      </w:r>
      <w:r w:rsidRPr="00EA1CA4">
        <w:rPr>
          <w:rFonts w:ascii="Times New Roman" w:hAnsi="Times New Roman"/>
          <w:sz w:val="24"/>
          <w:szCs w:val="24"/>
          <w:lang w:val="sq-AL"/>
        </w:rPr>
        <w:t>dhe përditës</w:t>
      </w:r>
      <w:r w:rsidR="002B3BE9" w:rsidRPr="00EA1CA4">
        <w:rPr>
          <w:rFonts w:ascii="Times New Roman" w:hAnsi="Times New Roman"/>
          <w:sz w:val="24"/>
          <w:szCs w:val="24"/>
          <w:lang w:val="sq-AL"/>
        </w:rPr>
        <w:t>imi i strategjis</w:t>
      </w:r>
      <w:r w:rsidRPr="00EA1CA4">
        <w:rPr>
          <w:rFonts w:ascii="Times New Roman" w:hAnsi="Times New Roman"/>
          <w:sz w:val="24"/>
          <w:szCs w:val="24"/>
          <w:lang w:val="sq-AL"/>
        </w:rPr>
        <w:t xml:space="preserve">ë </w:t>
      </w:r>
      <w:r w:rsidR="002B3BE9" w:rsidRPr="00EA1CA4">
        <w:rPr>
          <w:rFonts w:ascii="Times New Roman" w:hAnsi="Times New Roman"/>
          <w:sz w:val="24"/>
          <w:szCs w:val="24"/>
          <w:lang w:val="sq-AL"/>
        </w:rPr>
        <w:t>së</w:t>
      </w:r>
      <w:r w:rsidRPr="00EA1CA4">
        <w:rPr>
          <w:rFonts w:ascii="Times New Roman" w:hAnsi="Times New Roman"/>
          <w:sz w:val="24"/>
          <w:szCs w:val="24"/>
          <w:lang w:val="sq-AL"/>
        </w:rPr>
        <w:t xml:space="preserve"> laboratorit dhe algoritmi</w:t>
      </w:r>
      <w:r w:rsidR="002B3BE9" w:rsidRPr="00EA1CA4">
        <w:rPr>
          <w:rFonts w:ascii="Times New Roman" w:hAnsi="Times New Roman"/>
          <w:sz w:val="24"/>
          <w:szCs w:val="24"/>
          <w:lang w:val="sq-AL"/>
        </w:rPr>
        <w:t>t</w:t>
      </w:r>
      <w:r w:rsidRPr="00EA1CA4">
        <w:rPr>
          <w:rFonts w:ascii="Times New Roman" w:hAnsi="Times New Roman"/>
          <w:sz w:val="24"/>
          <w:szCs w:val="24"/>
          <w:lang w:val="sq-AL"/>
        </w:rPr>
        <w:t xml:space="preserve"> diagnostikues</w:t>
      </w:r>
      <w:r w:rsidR="002B3BE9" w:rsidRPr="00EA1CA4">
        <w:rPr>
          <w:rFonts w:ascii="Times New Roman" w:hAnsi="Times New Roman"/>
          <w:sz w:val="24"/>
          <w:szCs w:val="24"/>
          <w:lang w:val="sq-AL"/>
        </w:rPr>
        <w:t>,</w:t>
      </w:r>
      <w:r w:rsidRPr="00EA1CA4">
        <w:rPr>
          <w:rFonts w:ascii="Times New Roman" w:hAnsi="Times New Roman"/>
          <w:sz w:val="24"/>
          <w:szCs w:val="24"/>
          <w:lang w:val="sq-AL"/>
        </w:rPr>
        <w:t xml:space="preserve"> </w:t>
      </w:r>
      <w:r w:rsidR="002B3BE9" w:rsidRPr="00EA1CA4">
        <w:rPr>
          <w:rFonts w:ascii="Times New Roman" w:hAnsi="Times New Roman"/>
          <w:sz w:val="24"/>
          <w:szCs w:val="24"/>
          <w:lang w:val="sq-AL"/>
        </w:rPr>
        <w:t xml:space="preserve">duke u </w:t>
      </w:r>
      <w:r w:rsidRPr="00EA1CA4">
        <w:rPr>
          <w:rFonts w:ascii="Times New Roman" w:hAnsi="Times New Roman"/>
          <w:sz w:val="24"/>
          <w:szCs w:val="24"/>
          <w:lang w:val="sq-AL"/>
        </w:rPr>
        <w:t>bazuar në rekomandim</w:t>
      </w:r>
      <w:r w:rsidR="002B3BE9" w:rsidRPr="00EA1CA4">
        <w:rPr>
          <w:rFonts w:ascii="Times New Roman" w:hAnsi="Times New Roman"/>
          <w:sz w:val="24"/>
          <w:szCs w:val="24"/>
          <w:lang w:val="sq-AL"/>
        </w:rPr>
        <w:t xml:space="preserve">et </w:t>
      </w:r>
      <w:r w:rsidRPr="00EA1CA4">
        <w:rPr>
          <w:rFonts w:ascii="Times New Roman" w:hAnsi="Times New Roman"/>
          <w:sz w:val="24"/>
          <w:szCs w:val="24"/>
          <w:lang w:val="sq-AL"/>
        </w:rPr>
        <w:t>më të fundit të OBSH-së</w:t>
      </w:r>
    </w:p>
    <w:p w:rsidR="00AA2F50" w:rsidRPr="00EA1CA4" w:rsidRDefault="00AA2F50">
      <w:pPr>
        <w:pStyle w:val="ListParagraph"/>
        <w:numPr>
          <w:ilvl w:val="2"/>
          <w:numId w:val="7"/>
        </w:numPr>
        <w:spacing w:line="276" w:lineRule="auto"/>
        <w:jc w:val="both"/>
        <w:rPr>
          <w:rFonts w:ascii="Times New Roman" w:hAnsi="Times New Roman"/>
          <w:bCs/>
          <w:iCs/>
          <w:sz w:val="24"/>
          <w:szCs w:val="24"/>
          <w:lang w:val="sq-AL"/>
        </w:rPr>
      </w:pPr>
      <w:r w:rsidRPr="00EA1CA4">
        <w:rPr>
          <w:rFonts w:ascii="Times New Roman" w:hAnsi="Times New Roman"/>
          <w:sz w:val="24"/>
          <w:szCs w:val="24"/>
          <w:lang w:val="sq-AL"/>
        </w:rPr>
        <w:t>Zgj</w:t>
      </w:r>
      <w:r w:rsidR="002B3BE9" w:rsidRPr="00EA1CA4">
        <w:rPr>
          <w:rFonts w:ascii="Times New Roman" w:hAnsi="Times New Roman"/>
          <w:sz w:val="24"/>
          <w:szCs w:val="24"/>
          <w:lang w:val="sq-AL"/>
        </w:rPr>
        <w:t xml:space="preserve">erimi i </w:t>
      </w:r>
      <w:r w:rsidRPr="00EA1CA4">
        <w:rPr>
          <w:rFonts w:ascii="Times New Roman" w:hAnsi="Times New Roman"/>
          <w:sz w:val="24"/>
          <w:szCs w:val="24"/>
          <w:lang w:val="sq-AL"/>
        </w:rPr>
        <w:t>kapacitet</w:t>
      </w:r>
      <w:r w:rsidR="002B3BE9" w:rsidRPr="00EA1CA4">
        <w:rPr>
          <w:rFonts w:ascii="Times New Roman" w:hAnsi="Times New Roman"/>
          <w:sz w:val="24"/>
          <w:szCs w:val="24"/>
          <w:lang w:val="sq-AL"/>
        </w:rPr>
        <w:t xml:space="preserve">eve </w:t>
      </w:r>
      <w:r w:rsidRPr="00EA1CA4">
        <w:rPr>
          <w:rFonts w:ascii="Times New Roman" w:hAnsi="Times New Roman"/>
          <w:sz w:val="24"/>
          <w:szCs w:val="24"/>
          <w:lang w:val="sq-AL"/>
        </w:rPr>
        <w:t>laboratorik</w:t>
      </w:r>
      <w:r w:rsidR="002B3BE9" w:rsidRPr="00EA1CA4">
        <w:rPr>
          <w:rFonts w:ascii="Times New Roman" w:hAnsi="Times New Roman"/>
          <w:sz w:val="24"/>
          <w:szCs w:val="24"/>
          <w:lang w:val="sq-AL"/>
        </w:rPr>
        <w:t>e</w:t>
      </w:r>
      <w:r w:rsidRPr="00EA1CA4">
        <w:rPr>
          <w:rFonts w:ascii="Times New Roman" w:hAnsi="Times New Roman"/>
          <w:sz w:val="24"/>
          <w:szCs w:val="24"/>
          <w:lang w:val="sq-AL"/>
        </w:rPr>
        <w:t xml:space="preserve"> të TB</w:t>
      </w:r>
      <w:r w:rsidR="002B3BE9" w:rsidRPr="00EA1CA4">
        <w:rPr>
          <w:rFonts w:ascii="Times New Roman" w:hAnsi="Times New Roman"/>
          <w:sz w:val="24"/>
          <w:szCs w:val="24"/>
          <w:lang w:val="sq-AL"/>
        </w:rPr>
        <w:t>-së</w:t>
      </w:r>
      <w:r w:rsidRPr="00EA1CA4">
        <w:rPr>
          <w:rFonts w:ascii="Times New Roman" w:hAnsi="Times New Roman"/>
          <w:sz w:val="24"/>
          <w:szCs w:val="24"/>
          <w:lang w:val="sq-AL"/>
        </w:rPr>
        <w:t xml:space="preserve"> në nivel qendror dhe rajonal</w:t>
      </w:r>
      <w:r w:rsidR="002B3BE9" w:rsidRPr="00EA1CA4">
        <w:rPr>
          <w:rFonts w:ascii="Times New Roman" w:hAnsi="Times New Roman"/>
          <w:sz w:val="24"/>
          <w:szCs w:val="24"/>
          <w:lang w:val="sq-AL"/>
        </w:rPr>
        <w:t>,</w:t>
      </w:r>
      <w:r w:rsidRPr="00EA1CA4">
        <w:rPr>
          <w:rFonts w:ascii="Times New Roman" w:hAnsi="Times New Roman"/>
          <w:sz w:val="24"/>
          <w:szCs w:val="24"/>
          <w:lang w:val="sq-AL"/>
        </w:rPr>
        <w:t xml:space="preserve"> duke ndërtuar kapacitete njerëzore dhe të reja diagnostikuese, duke siguruar mirëmbajtje të rregullt dhe furnizim të vazhdueshëm dhe të pandërprerë të produkteve laboratorike thelbësore</w:t>
      </w:r>
    </w:p>
    <w:p w:rsidR="00AA2F50" w:rsidRPr="00EA1CA4" w:rsidRDefault="00AA2F50">
      <w:pPr>
        <w:pStyle w:val="ListParagraph"/>
        <w:numPr>
          <w:ilvl w:val="2"/>
          <w:numId w:val="7"/>
        </w:numPr>
        <w:spacing w:line="276" w:lineRule="auto"/>
        <w:jc w:val="both"/>
        <w:rPr>
          <w:rFonts w:ascii="Times New Roman" w:hAnsi="Times New Roman"/>
          <w:sz w:val="24"/>
          <w:szCs w:val="24"/>
          <w:lang w:val="sq-AL"/>
        </w:rPr>
      </w:pPr>
      <w:r w:rsidRPr="00EA1CA4">
        <w:rPr>
          <w:rFonts w:ascii="Times New Roman" w:hAnsi="Times New Roman"/>
          <w:sz w:val="24"/>
          <w:szCs w:val="24"/>
          <w:lang w:val="sq-AL"/>
        </w:rPr>
        <w:t>Sigurimi i brendshëm dhe i jashtëm i përmirësuar i cilësisë (EQA) i shërbimeve laboratorike</w:t>
      </w:r>
      <w:r w:rsidR="002B3BE9" w:rsidRPr="00EA1CA4">
        <w:rPr>
          <w:rFonts w:ascii="Times New Roman" w:hAnsi="Times New Roman"/>
          <w:sz w:val="24"/>
          <w:szCs w:val="24"/>
          <w:lang w:val="sq-AL"/>
        </w:rPr>
        <w:t>,</w:t>
      </w:r>
      <w:r w:rsidRPr="00EA1CA4">
        <w:rPr>
          <w:rFonts w:ascii="Times New Roman" w:hAnsi="Times New Roman"/>
          <w:sz w:val="24"/>
          <w:szCs w:val="24"/>
          <w:lang w:val="sq-AL"/>
        </w:rPr>
        <w:t xml:space="preserve"> duke përfshirë laboratorët që kryejnë mikroskopinë e njoll</w:t>
      </w:r>
      <w:r w:rsidR="002B3BE9" w:rsidRPr="00EA1CA4">
        <w:rPr>
          <w:rFonts w:ascii="Times New Roman" w:hAnsi="Times New Roman"/>
          <w:sz w:val="24"/>
          <w:szCs w:val="24"/>
          <w:lang w:val="sq-AL"/>
        </w:rPr>
        <w:t>osjes</w:t>
      </w:r>
    </w:p>
    <w:p w:rsidR="00AA2F50" w:rsidRPr="00EA1CA4" w:rsidRDefault="00AA2F50">
      <w:pPr>
        <w:pStyle w:val="ListParagraph"/>
        <w:numPr>
          <w:ilvl w:val="2"/>
          <w:numId w:val="7"/>
        </w:numPr>
        <w:spacing w:line="276" w:lineRule="auto"/>
        <w:jc w:val="both"/>
        <w:rPr>
          <w:rFonts w:ascii="Times New Roman" w:hAnsi="Times New Roman"/>
          <w:bCs/>
          <w:iCs/>
          <w:sz w:val="24"/>
          <w:szCs w:val="24"/>
          <w:lang w:val="sq-AL"/>
        </w:rPr>
      </w:pPr>
      <w:r w:rsidRPr="00EA1CA4">
        <w:rPr>
          <w:rFonts w:ascii="Times New Roman" w:hAnsi="Times New Roman"/>
          <w:sz w:val="24"/>
          <w:szCs w:val="24"/>
          <w:lang w:val="sq-AL"/>
        </w:rPr>
        <w:t>Zgj</w:t>
      </w:r>
      <w:r w:rsidR="002B3BE9" w:rsidRPr="00EA1CA4">
        <w:rPr>
          <w:rFonts w:ascii="Times New Roman" w:hAnsi="Times New Roman"/>
          <w:sz w:val="24"/>
          <w:szCs w:val="24"/>
          <w:lang w:val="sq-AL"/>
        </w:rPr>
        <w:t>e</w:t>
      </w:r>
      <w:r w:rsidRPr="00EA1CA4">
        <w:rPr>
          <w:rFonts w:ascii="Times New Roman" w:hAnsi="Times New Roman"/>
          <w:sz w:val="24"/>
          <w:szCs w:val="24"/>
          <w:lang w:val="sq-AL"/>
        </w:rPr>
        <w:t>r</w:t>
      </w:r>
      <w:r w:rsidR="002B3BE9" w:rsidRPr="00EA1CA4">
        <w:rPr>
          <w:rFonts w:ascii="Times New Roman" w:hAnsi="Times New Roman"/>
          <w:sz w:val="24"/>
          <w:szCs w:val="24"/>
          <w:lang w:val="sq-AL"/>
        </w:rPr>
        <w:t xml:space="preserve">imi </w:t>
      </w:r>
      <w:r w:rsidRPr="00EA1CA4">
        <w:rPr>
          <w:rFonts w:ascii="Times New Roman" w:hAnsi="Times New Roman"/>
          <w:sz w:val="24"/>
          <w:szCs w:val="24"/>
          <w:lang w:val="sq-AL"/>
        </w:rPr>
        <w:t>dhe rregull</w:t>
      </w:r>
      <w:r w:rsidR="002B3BE9" w:rsidRPr="00EA1CA4">
        <w:rPr>
          <w:rFonts w:ascii="Times New Roman" w:hAnsi="Times New Roman"/>
          <w:sz w:val="24"/>
          <w:szCs w:val="24"/>
          <w:lang w:val="sq-AL"/>
        </w:rPr>
        <w:t xml:space="preserve">imi i </w:t>
      </w:r>
      <w:r w:rsidRPr="00EA1CA4">
        <w:rPr>
          <w:rFonts w:ascii="Times New Roman" w:hAnsi="Times New Roman"/>
          <w:sz w:val="24"/>
          <w:szCs w:val="24"/>
          <w:lang w:val="sq-AL"/>
        </w:rPr>
        <w:t>sistemi</w:t>
      </w:r>
      <w:r w:rsidR="002B3BE9" w:rsidRPr="00EA1CA4">
        <w:rPr>
          <w:rFonts w:ascii="Times New Roman" w:hAnsi="Times New Roman"/>
          <w:sz w:val="24"/>
          <w:szCs w:val="24"/>
          <w:lang w:val="sq-AL"/>
        </w:rPr>
        <w:t>t</w:t>
      </w:r>
      <w:r w:rsidRPr="00EA1CA4">
        <w:rPr>
          <w:rFonts w:ascii="Times New Roman" w:hAnsi="Times New Roman"/>
          <w:sz w:val="24"/>
          <w:szCs w:val="24"/>
          <w:lang w:val="sq-AL"/>
        </w:rPr>
        <w:t xml:space="preserve"> </w:t>
      </w:r>
      <w:r w:rsidR="002B3BE9" w:rsidRPr="00EA1CA4">
        <w:rPr>
          <w:rFonts w:ascii="Times New Roman" w:hAnsi="Times New Roman"/>
          <w:sz w:val="24"/>
          <w:szCs w:val="24"/>
          <w:lang w:val="sq-AL"/>
        </w:rPr>
        <w:t>të</w:t>
      </w:r>
      <w:r w:rsidRPr="00EA1CA4">
        <w:rPr>
          <w:rFonts w:ascii="Times New Roman" w:hAnsi="Times New Roman"/>
          <w:sz w:val="24"/>
          <w:szCs w:val="24"/>
          <w:lang w:val="sq-AL"/>
        </w:rPr>
        <w:t xml:space="preserve"> grumbullimit dhe transportit të sputumit.</w:t>
      </w:r>
    </w:p>
    <w:p w:rsidR="00AA2F50" w:rsidRPr="00EA1CA4" w:rsidRDefault="00AA2F50">
      <w:pPr>
        <w:pStyle w:val="ListParagraph"/>
        <w:numPr>
          <w:ilvl w:val="2"/>
          <w:numId w:val="7"/>
        </w:numPr>
        <w:spacing w:line="276" w:lineRule="auto"/>
        <w:jc w:val="both"/>
        <w:rPr>
          <w:rFonts w:ascii="Times New Roman" w:hAnsi="Times New Roman"/>
          <w:sz w:val="24"/>
          <w:szCs w:val="24"/>
          <w:lang w:val="sq-AL"/>
        </w:rPr>
      </w:pPr>
      <w:r w:rsidRPr="00EA1CA4">
        <w:rPr>
          <w:rFonts w:ascii="Times New Roman" w:hAnsi="Times New Roman"/>
          <w:sz w:val="24"/>
          <w:szCs w:val="24"/>
          <w:lang w:val="sq-AL"/>
        </w:rPr>
        <w:t>Krij</w:t>
      </w:r>
      <w:r w:rsidR="002B3BE9" w:rsidRPr="00EA1CA4">
        <w:rPr>
          <w:rFonts w:ascii="Times New Roman" w:hAnsi="Times New Roman"/>
          <w:sz w:val="24"/>
          <w:szCs w:val="24"/>
          <w:lang w:val="sq-AL"/>
        </w:rPr>
        <w:t xml:space="preserve">imi i </w:t>
      </w:r>
      <w:r w:rsidRPr="00EA1CA4">
        <w:rPr>
          <w:rFonts w:ascii="Times New Roman" w:hAnsi="Times New Roman"/>
          <w:sz w:val="24"/>
          <w:szCs w:val="24"/>
          <w:lang w:val="sq-AL"/>
        </w:rPr>
        <w:t>mjete</w:t>
      </w:r>
      <w:r w:rsidR="002B3BE9" w:rsidRPr="00EA1CA4">
        <w:rPr>
          <w:rFonts w:ascii="Times New Roman" w:hAnsi="Times New Roman"/>
          <w:sz w:val="24"/>
          <w:szCs w:val="24"/>
          <w:lang w:val="sq-AL"/>
        </w:rPr>
        <w:t>ve</w:t>
      </w:r>
      <w:r w:rsidRPr="00EA1CA4">
        <w:rPr>
          <w:rFonts w:ascii="Times New Roman" w:hAnsi="Times New Roman"/>
          <w:sz w:val="24"/>
          <w:szCs w:val="24"/>
          <w:lang w:val="sq-AL"/>
        </w:rPr>
        <w:t xml:space="preserve"> funksionale për transportin e materialeve bakteriologjike në </w:t>
      </w:r>
      <w:r w:rsidR="00037D8D" w:rsidRPr="00EA1CA4">
        <w:rPr>
          <w:rFonts w:ascii="Times New Roman" w:hAnsi="Times New Roman"/>
          <w:sz w:val="24"/>
          <w:szCs w:val="24"/>
          <w:lang w:val="sq-AL"/>
        </w:rPr>
        <w:t>LRMK</w:t>
      </w:r>
      <w:r w:rsidRPr="00EA1CA4">
        <w:rPr>
          <w:rFonts w:ascii="Times New Roman" w:hAnsi="Times New Roman"/>
          <w:sz w:val="24"/>
          <w:szCs w:val="24"/>
          <w:lang w:val="sq-AL"/>
        </w:rPr>
        <w:t xml:space="preserve"> në Milano</w:t>
      </w:r>
    </w:p>
    <w:p w:rsidR="00AA2F50" w:rsidRPr="00EA1CA4" w:rsidRDefault="00AA2F50">
      <w:pPr>
        <w:pStyle w:val="ListParagraph"/>
        <w:numPr>
          <w:ilvl w:val="2"/>
          <w:numId w:val="7"/>
        </w:numPr>
        <w:spacing w:line="276" w:lineRule="auto"/>
        <w:jc w:val="both"/>
        <w:rPr>
          <w:rFonts w:ascii="Times New Roman" w:hAnsi="Times New Roman"/>
          <w:sz w:val="24"/>
          <w:szCs w:val="24"/>
          <w:lang w:val="sq-AL"/>
        </w:rPr>
      </w:pPr>
      <w:r w:rsidRPr="00EA1CA4">
        <w:rPr>
          <w:rFonts w:ascii="Times New Roman" w:hAnsi="Times New Roman"/>
          <w:sz w:val="24"/>
          <w:szCs w:val="24"/>
          <w:lang w:val="sq-AL"/>
        </w:rPr>
        <w:t>Krij</w:t>
      </w:r>
      <w:r w:rsidR="002B3BE9" w:rsidRPr="00EA1CA4">
        <w:rPr>
          <w:rFonts w:ascii="Times New Roman" w:hAnsi="Times New Roman"/>
          <w:sz w:val="24"/>
          <w:szCs w:val="24"/>
          <w:lang w:val="sq-AL"/>
        </w:rPr>
        <w:t xml:space="preserve">imi </w:t>
      </w:r>
      <w:r w:rsidRPr="00EA1CA4">
        <w:rPr>
          <w:rFonts w:ascii="Times New Roman" w:hAnsi="Times New Roman"/>
          <w:sz w:val="24"/>
          <w:szCs w:val="24"/>
          <w:lang w:val="sq-AL"/>
        </w:rPr>
        <w:t>dhe mirëmba</w:t>
      </w:r>
      <w:r w:rsidR="002B3BE9" w:rsidRPr="00EA1CA4">
        <w:rPr>
          <w:rFonts w:ascii="Times New Roman" w:hAnsi="Times New Roman"/>
          <w:sz w:val="24"/>
          <w:szCs w:val="24"/>
          <w:lang w:val="sq-AL"/>
        </w:rPr>
        <w:t>jtja e</w:t>
      </w:r>
      <w:r w:rsidRPr="00EA1CA4">
        <w:rPr>
          <w:rFonts w:ascii="Times New Roman" w:hAnsi="Times New Roman"/>
          <w:sz w:val="24"/>
          <w:szCs w:val="24"/>
          <w:lang w:val="sq-AL"/>
        </w:rPr>
        <w:t xml:space="preserve"> një sistem</w:t>
      </w:r>
      <w:r w:rsidR="002B3BE9" w:rsidRPr="00EA1CA4">
        <w:rPr>
          <w:rFonts w:ascii="Times New Roman" w:hAnsi="Times New Roman"/>
          <w:sz w:val="24"/>
          <w:szCs w:val="24"/>
          <w:lang w:val="sq-AL"/>
        </w:rPr>
        <w:t>i</w:t>
      </w:r>
      <w:r w:rsidRPr="00EA1CA4">
        <w:rPr>
          <w:rFonts w:ascii="Times New Roman" w:hAnsi="Times New Roman"/>
          <w:sz w:val="24"/>
          <w:szCs w:val="24"/>
          <w:lang w:val="sq-AL"/>
        </w:rPr>
        <w:t xml:space="preserve"> </w:t>
      </w:r>
      <w:r w:rsidR="002B3BE9" w:rsidRPr="00EA1CA4">
        <w:rPr>
          <w:rFonts w:ascii="Times New Roman" w:hAnsi="Times New Roman"/>
          <w:sz w:val="24"/>
          <w:szCs w:val="24"/>
          <w:lang w:val="sq-AL"/>
        </w:rPr>
        <w:t xml:space="preserve">të </w:t>
      </w:r>
      <w:r w:rsidRPr="00EA1CA4">
        <w:rPr>
          <w:rFonts w:ascii="Times New Roman" w:hAnsi="Times New Roman"/>
          <w:sz w:val="24"/>
          <w:szCs w:val="24"/>
          <w:lang w:val="sq-AL"/>
        </w:rPr>
        <w:t>regjistrimi</w:t>
      </w:r>
      <w:r w:rsidR="002B3BE9" w:rsidRPr="00EA1CA4">
        <w:rPr>
          <w:rFonts w:ascii="Times New Roman" w:hAnsi="Times New Roman"/>
          <w:sz w:val="24"/>
          <w:szCs w:val="24"/>
          <w:lang w:val="sq-AL"/>
        </w:rPr>
        <w:t>t</w:t>
      </w:r>
      <w:r w:rsidRPr="00EA1CA4">
        <w:rPr>
          <w:rFonts w:ascii="Times New Roman" w:hAnsi="Times New Roman"/>
          <w:sz w:val="24"/>
          <w:szCs w:val="24"/>
          <w:lang w:val="sq-AL"/>
        </w:rPr>
        <w:t xml:space="preserve"> dhe raportimi</w:t>
      </w:r>
      <w:r w:rsidR="002B3BE9" w:rsidRPr="00EA1CA4">
        <w:rPr>
          <w:rFonts w:ascii="Times New Roman" w:hAnsi="Times New Roman"/>
          <w:sz w:val="24"/>
          <w:szCs w:val="24"/>
          <w:lang w:val="sq-AL"/>
        </w:rPr>
        <w:t>t</w:t>
      </w:r>
      <w:r w:rsidRPr="00EA1CA4">
        <w:rPr>
          <w:rFonts w:ascii="Times New Roman" w:hAnsi="Times New Roman"/>
          <w:sz w:val="24"/>
          <w:szCs w:val="24"/>
          <w:lang w:val="sq-AL"/>
        </w:rPr>
        <w:t xml:space="preserve"> për laboratorët, duke përfshirë sistemet </w:t>
      </w:r>
      <w:r w:rsidR="002B3BE9" w:rsidRPr="00EA1CA4">
        <w:rPr>
          <w:rFonts w:ascii="Times New Roman" w:hAnsi="Times New Roman"/>
          <w:sz w:val="24"/>
          <w:szCs w:val="24"/>
          <w:lang w:val="sq-AL"/>
        </w:rPr>
        <w:t xml:space="preserve">me kopje fizike </w:t>
      </w:r>
      <w:r w:rsidRPr="00EA1CA4">
        <w:rPr>
          <w:rFonts w:ascii="Times New Roman" w:hAnsi="Times New Roman"/>
          <w:sz w:val="24"/>
          <w:szCs w:val="24"/>
          <w:lang w:val="sq-AL"/>
        </w:rPr>
        <w:t xml:space="preserve">dhe </w:t>
      </w:r>
      <w:r w:rsidRPr="00EA1CA4">
        <w:rPr>
          <w:rFonts w:ascii="Times New Roman" w:hAnsi="Times New Roman"/>
          <w:sz w:val="24"/>
          <w:szCs w:val="24"/>
          <w:lang w:val="sq-AL"/>
        </w:rPr>
        <w:lastRenderedPageBreak/>
        <w:t xml:space="preserve">elektronike, duke përfshirë monitorimin e rezistencës ndaj </w:t>
      </w:r>
      <w:r w:rsidR="002B3BE9" w:rsidRPr="00EA1CA4">
        <w:rPr>
          <w:rFonts w:ascii="Times New Roman" w:hAnsi="Times New Roman"/>
          <w:sz w:val="24"/>
          <w:szCs w:val="24"/>
          <w:lang w:val="sq-AL"/>
        </w:rPr>
        <w:t>barnave</w:t>
      </w:r>
      <w:r w:rsidRPr="00EA1CA4">
        <w:rPr>
          <w:rFonts w:ascii="Times New Roman" w:hAnsi="Times New Roman"/>
          <w:sz w:val="24"/>
          <w:szCs w:val="24"/>
          <w:lang w:val="sq-AL"/>
        </w:rPr>
        <w:t>;</w:t>
      </w:r>
    </w:p>
    <w:p w:rsidR="00AA2F50" w:rsidRPr="00EA1CA4" w:rsidRDefault="00AA2F50">
      <w:pPr>
        <w:pStyle w:val="ListParagraph"/>
        <w:numPr>
          <w:ilvl w:val="2"/>
          <w:numId w:val="7"/>
        </w:numPr>
        <w:spacing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Përmirësimi i funksionalizimit të metodave diagnostikuese për </w:t>
      </w:r>
      <w:r w:rsidR="002B3BE9" w:rsidRPr="00EA1CA4">
        <w:rPr>
          <w:rFonts w:ascii="Times New Roman" w:hAnsi="Times New Roman"/>
          <w:sz w:val="24"/>
          <w:szCs w:val="24"/>
          <w:lang w:val="sq-AL"/>
        </w:rPr>
        <w:t>TB-në</w:t>
      </w:r>
      <w:r w:rsidRPr="00EA1CA4">
        <w:rPr>
          <w:rFonts w:ascii="Times New Roman" w:hAnsi="Times New Roman"/>
          <w:sz w:val="24"/>
          <w:szCs w:val="24"/>
          <w:lang w:val="sq-AL"/>
        </w:rPr>
        <w:t xml:space="preserve"> ekstra</w:t>
      </w:r>
      <w:r w:rsidR="002B3BE9" w:rsidRPr="00EA1CA4">
        <w:rPr>
          <w:rFonts w:ascii="Times New Roman" w:hAnsi="Times New Roman"/>
          <w:sz w:val="24"/>
          <w:szCs w:val="24"/>
          <w:lang w:val="sq-AL"/>
        </w:rPr>
        <w:t>-</w:t>
      </w:r>
      <w:r w:rsidRPr="00EA1CA4">
        <w:rPr>
          <w:rFonts w:ascii="Times New Roman" w:hAnsi="Times New Roman"/>
          <w:sz w:val="24"/>
          <w:szCs w:val="24"/>
          <w:lang w:val="sq-AL"/>
        </w:rPr>
        <w:t>pulmonar</w:t>
      </w:r>
      <w:r w:rsidR="002B3BE9" w:rsidRPr="00EA1CA4">
        <w:rPr>
          <w:rFonts w:ascii="Times New Roman" w:hAnsi="Times New Roman"/>
          <w:sz w:val="24"/>
          <w:szCs w:val="24"/>
          <w:lang w:val="sq-AL"/>
        </w:rPr>
        <w:t>e</w:t>
      </w:r>
      <w:r w:rsidR="00CD68E0" w:rsidRPr="00EA1CA4">
        <w:rPr>
          <w:rFonts w:ascii="Times New Roman" w:hAnsi="Times New Roman"/>
          <w:sz w:val="24"/>
          <w:szCs w:val="24"/>
          <w:lang w:val="sq-AL"/>
        </w:rPr>
        <w:t xml:space="preserve"> (EPTB/</w:t>
      </w:r>
      <w:r w:rsidRPr="00EA1CA4">
        <w:rPr>
          <w:rFonts w:ascii="Times New Roman" w:hAnsi="Times New Roman"/>
          <w:sz w:val="24"/>
          <w:szCs w:val="24"/>
          <w:lang w:val="sq-AL"/>
        </w:rPr>
        <w:t>ADA);</w:t>
      </w:r>
    </w:p>
    <w:p w:rsidR="0074506B" w:rsidRPr="00EA1CA4" w:rsidRDefault="00AA2F50">
      <w:pPr>
        <w:pStyle w:val="ListParagraph"/>
        <w:numPr>
          <w:ilvl w:val="2"/>
          <w:numId w:val="7"/>
        </w:numPr>
        <w:spacing w:before="120" w:after="120" w:line="276" w:lineRule="auto"/>
        <w:jc w:val="both"/>
        <w:rPr>
          <w:rFonts w:ascii="Times New Roman" w:hAnsi="Times New Roman"/>
          <w:sz w:val="24"/>
          <w:szCs w:val="24"/>
          <w:lang w:val="sq-AL"/>
        </w:rPr>
      </w:pPr>
      <w:r w:rsidRPr="00EA1CA4">
        <w:rPr>
          <w:rFonts w:ascii="Times New Roman" w:hAnsi="Times New Roman"/>
          <w:bCs/>
          <w:iCs/>
          <w:sz w:val="24"/>
          <w:szCs w:val="24"/>
          <w:lang w:val="sq-AL"/>
        </w:rPr>
        <w:t>Sigur</w:t>
      </w:r>
      <w:r w:rsidR="002B3BE9" w:rsidRPr="00EA1CA4">
        <w:rPr>
          <w:rFonts w:ascii="Times New Roman" w:hAnsi="Times New Roman"/>
          <w:bCs/>
          <w:iCs/>
          <w:sz w:val="24"/>
          <w:szCs w:val="24"/>
          <w:lang w:val="sq-AL"/>
        </w:rPr>
        <w:t xml:space="preserve">imi i </w:t>
      </w:r>
      <w:r w:rsidRPr="00EA1CA4">
        <w:rPr>
          <w:rFonts w:ascii="Times New Roman" w:hAnsi="Times New Roman"/>
          <w:bCs/>
          <w:iCs/>
          <w:sz w:val="24"/>
          <w:szCs w:val="24"/>
          <w:lang w:val="sq-AL"/>
        </w:rPr>
        <w:t>ndërhyrje</w:t>
      </w:r>
      <w:r w:rsidR="002B3BE9" w:rsidRPr="00EA1CA4">
        <w:rPr>
          <w:rFonts w:ascii="Times New Roman" w:hAnsi="Times New Roman"/>
          <w:bCs/>
          <w:iCs/>
          <w:sz w:val="24"/>
          <w:szCs w:val="24"/>
          <w:lang w:val="sq-AL"/>
        </w:rPr>
        <w:t>ve</w:t>
      </w:r>
      <w:r w:rsidRPr="00EA1CA4">
        <w:rPr>
          <w:rFonts w:ascii="Times New Roman" w:hAnsi="Times New Roman"/>
          <w:bCs/>
          <w:iCs/>
          <w:sz w:val="24"/>
          <w:szCs w:val="24"/>
          <w:lang w:val="sq-AL"/>
        </w:rPr>
        <w:t xml:space="preserve"> për ngritjen e kapaciteteve </w:t>
      </w:r>
      <w:r w:rsidR="002B3BE9" w:rsidRPr="00EA1CA4">
        <w:rPr>
          <w:rFonts w:ascii="Times New Roman" w:hAnsi="Times New Roman"/>
          <w:bCs/>
          <w:iCs/>
          <w:sz w:val="24"/>
          <w:szCs w:val="24"/>
          <w:lang w:val="sq-AL"/>
        </w:rPr>
        <w:t>t</w:t>
      </w:r>
      <w:r w:rsidRPr="00EA1CA4">
        <w:rPr>
          <w:rFonts w:ascii="Times New Roman" w:hAnsi="Times New Roman"/>
          <w:bCs/>
          <w:iCs/>
          <w:sz w:val="24"/>
          <w:szCs w:val="24"/>
          <w:lang w:val="sq-AL"/>
        </w:rPr>
        <w:t>ë stafi</w:t>
      </w:r>
      <w:r w:rsidR="002B3BE9" w:rsidRPr="00EA1CA4">
        <w:rPr>
          <w:rFonts w:ascii="Times New Roman" w:hAnsi="Times New Roman"/>
          <w:bCs/>
          <w:iCs/>
          <w:sz w:val="24"/>
          <w:szCs w:val="24"/>
          <w:lang w:val="sq-AL"/>
        </w:rPr>
        <w:t>t</w:t>
      </w:r>
      <w:r w:rsidRPr="00EA1CA4">
        <w:rPr>
          <w:rFonts w:ascii="Times New Roman" w:hAnsi="Times New Roman"/>
          <w:bCs/>
          <w:iCs/>
          <w:sz w:val="24"/>
          <w:szCs w:val="24"/>
          <w:lang w:val="sq-AL"/>
        </w:rPr>
        <w:t xml:space="preserve"> laboratorik për: metodat e reja diagnostikuese, regjistrimin dhe raportimin të </w:t>
      </w:r>
      <w:r w:rsidR="002B3BE9" w:rsidRPr="00EA1CA4">
        <w:rPr>
          <w:rFonts w:ascii="Times New Roman" w:hAnsi="Times New Roman"/>
          <w:bCs/>
          <w:iCs/>
          <w:sz w:val="24"/>
          <w:szCs w:val="24"/>
          <w:lang w:val="sq-AL"/>
        </w:rPr>
        <w:t>dhënave laboratorike p</w:t>
      </w:r>
      <w:r w:rsidRPr="00EA1CA4">
        <w:rPr>
          <w:rFonts w:ascii="Times New Roman" w:hAnsi="Times New Roman"/>
          <w:bCs/>
          <w:iCs/>
          <w:sz w:val="24"/>
          <w:szCs w:val="24"/>
          <w:lang w:val="sq-AL"/>
        </w:rPr>
        <w:t>ë</w:t>
      </w:r>
      <w:r w:rsidR="002B3BE9" w:rsidRPr="00EA1CA4">
        <w:rPr>
          <w:rFonts w:ascii="Times New Roman" w:hAnsi="Times New Roman"/>
          <w:bCs/>
          <w:iCs/>
          <w:sz w:val="24"/>
          <w:szCs w:val="24"/>
          <w:lang w:val="sq-AL"/>
        </w:rPr>
        <w:t>r</w:t>
      </w:r>
      <w:r w:rsidRPr="00EA1CA4">
        <w:rPr>
          <w:rFonts w:ascii="Times New Roman" w:hAnsi="Times New Roman"/>
          <w:bCs/>
          <w:iCs/>
          <w:sz w:val="24"/>
          <w:szCs w:val="24"/>
          <w:lang w:val="sq-AL"/>
        </w:rPr>
        <w:t xml:space="preserve"> TB-</w:t>
      </w:r>
      <w:r w:rsidR="002B3BE9" w:rsidRPr="00EA1CA4">
        <w:rPr>
          <w:rFonts w:ascii="Times New Roman" w:hAnsi="Times New Roman"/>
          <w:bCs/>
          <w:iCs/>
          <w:sz w:val="24"/>
          <w:szCs w:val="24"/>
          <w:lang w:val="sq-AL"/>
        </w:rPr>
        <w:t>n</w:t>
      </w:r>
      <w:r w:rsidRPr="00EA1CA4">
        <w:rPr>
          <w:rFonts w:ascii="Times New Roman" w:hAnsi="Times New Roman"/>
          <w:bCs/>
          <w:iCs/>
          <w:sz w:val="24"/>
          <w:szCs w:val="24"/>
          <w:lang w:val="sq-AL"/>
        </w:rPr>
        <w:t xml:space="preserve">ë, mbledhjen dhe transportin e sputumit, ndërtimin e mbikëqyrjes së rezistencës ndaj </w:t>
      </w:r>
      <w:r w:rsidR="002B3BE9" w:rsidRPr="00EA1CA4">
        <w:rPr>
          <w:rFonts w:ascii="Times New Roman" w:hAnsi="Times New Roman"/>
          <w:bCs/>
          <w:iCs/>
          <w:sz w:val="24"/>
          <w:szCs w:val="24"/>
          <w:lang w:val="sq-AL"/>
        </w:rPr>
        <w:t xml:space="preserve">barnave </w:t>
      </w:r>
      <w:r w:rsidRPr="00EA1CA4">
        <w:rPr>
          <w:rFonts w:ascii="Times New Roman" w:hAnsi="Times New Roman"/>
          <w:bCs/>
          <w:iCs/>
          <w:sz w:val="24"/>
          <w:szCs w:val="24"/>
          <w:lang w:val="sq-AL"/>
        </w:rPr>
        <w:t>dhe sistemin e brendshëm dhe të jashtëm të vlerësimit të cilësisë përmes trajnimeve kombëtare dhe ndërkombëtare</w:t>
      </w:r>
      <w:r w:rsidR="0074506B" w:rsidRPr="00EA1CA4">
        <w:rPr>
          <w:rFonts w:ascii="Times New Roman" w:hAnsi="Times New Roman"/>
          <w:bCs/>
          <w:iCs/>
          <w:color w:val="000000"/>
          <w:sz w:val="24"/>
          <w:szCs w:val="24"/>
          <w:lang w:val="sq-AL"/>
        </w:rPr>
        <w:t>.</w:t>
      </w:r>
    </w:p>
    <w:p w:rsidR="00AC60C6" w:rsidRPr="00EA1CA4" w:rsidRDefault="00AC60C6">
      <w:pPr>
        <w:pStyle w:val="ListParagraph"/>
        <w:numPr>
          <w:ilvl w:val="2"/>
          <w:numId w:val="7"/>
        </w:numPr>
        <w:spacing w:before="120" w:after="120" w:line="276" w:lineRule="auto"/>
        <w:jc w:val="both"/>
        <w:rPr>
          <w:rFonts w:ascii="Times New Roman" w:hAnsi="Times New Roman"/>
          <w:sz w:val="24"/>
          <w:szCs w:val="24"/>
          <w:lang w:val="sq-AL"/>
        </w:rPr>
      </w:pPr>
      <w:r w:rsidRPr="00EA1CA4">
        <w:rPr>
          <w:rFonts w:ascii="Times New Roman" w:hAnsi="Times New Roman"/>
          <w:color w:val="1D2228"/>
          <w:sz w:val="24"/>
          <w:szCs w:val="24"/>
          <w:shd w:val="clear" w:color="auto" w:fill="FFFFFF"/>
          <w:lang w:val="sq-AL"/>
        </w:rPr>
        <w:t>Renovimi i hapësirave të izolimit për trajtim të TBC në stacionarin e burgut në Dubravë.</w:t>
      </w:r>
    </w:p>
    <w:p w:rsidR="00AC60C6" w:rsidRPr="00EA1CA4" w:rsidRDefault="00AC60C6">
      <w:pPr>
        <w:pStyle w:val="ListParagraph"/>
        <w:numPr>
          <w:ilvl w:val="2"/>
          <w:numId w:val="7"/>
        </w:numPr>
        <w:spacing w:before="120" w:after="120" w:line="276" w:lineRule="auto"/>
        <w:jc w:val="both"/>
        <w:rPr>
          <w:rFonts w:ascii="Times New Roman" w:hAnsi="Times New Roman"/>
          <w:sz w:val="24"/>
          <w:szCs w:val="24"/>
          <w:lang w:val="sq-AL"/>
        </w:rPr>
      </w:pPr>
      <w:r w:rsidRPr="00EA1CA4">
        <w:rPr>
          <w:rFonts w:ascii="Times New Roman" w:hAnsi="Times New Roman"/>
          <w:color w:val="1D2228"/>
          <w:sz w:val="24"/>
          <w:szCs w:val="24"/>
          <w:shd w:val="clear" w:color="auto" w:fill="FFFFFF"/>
          <w:lang w:val="sq-AL"/>
        </w:rPr>
        <w:t> Renovimi i hapësirës për marrjen e sputumit në stacionarin e Burgut të Dubravës.</w:t>
      </w:r>
    </w:p>
    <w:p w:rsidR="00AC60C6" w:rsidRPr="00EA1CA4" w:rsidRDefault="00AC60C6">
      <w:pPr>
        <w:pStyle w:val="ListParagraph"/>
        <w:numPr>
          <w:ilvl w:val="2"/>
          <w:numId w:val="7"/>
        </w:numPr>
        <w:spacing w:before="120" w:after="120" w:line="276" w:lineRule="auto"/>
        <w:jc w:val="both"/>
        <w:rPr>
          <w:rFonts w:ascii="Times New Roman" w:hAnsi="Times New Roman"/>
          <w:sz w:val="24"/>
          <w:szCs w:val="24"/>
          <w:lang w:val="sq-AL"/>
        </w:rPr>
      </w:pPr>
      <w:r w:rsidRPr="00EA1CA4">
        <w:rPr>
          <w:rFonts w:ascii="Times New Roman" w:hAnsi="Times New Roman"/>
          <w:color w:val="1D2228"/>
          <w:sz w:val="24"/>
          <w:szCs w:val="24"/>
          <w:lang w:val="sq-AL"/>
        </w:rPr>
        <w:t> Furnizimi me një RTG të ri për kabinetin radiologjik në Dubravë .</w:t>
      </w:r>
    </w:p>
    <w:p w:rsidR="00AC60C6" w:rsidRPr="00EA1CA4" w:rsidRDefault="00AC60C6">
      <w:pPr>
        <w:pStyle w:val="ListParagraph"/>
        <w:numPr>
          <w:ilvl w:val="2"/>
          <w:numId w:val="7"/>
        </w:numPr>
        <w:spacing w:before="120" w:after="120" w:line="276" w:lineRule="auto"/>
        <w:jc w:val="both"/>
        <w:rPr>
          <w:rFonts w:ascii="Times New Roman" w:hAnsi="Times New Roman"/>
          <w:sz w:val="24"/>
          <w:szCs w:val="24"/>
          <w:lang w:val="sq-AL"/>
        </w:rPr>
      </w:pPr>
      <w:r w:rsidRPr="00EA1CA4">
        <w:rPr>
          <w:rFonts w:ascii="Times New Roman" w:hAnsi="Times New Roman"/>
          <w:color w:val="1D2228"/>
          <w:sz w:val="24"/>
          <w:szCs w:val="24"/>
          <w:lang w:val="sq-AL"/>
        </w:rPr>
        <w:t> Rrjetëzimi i fotografive të RTG në kompjuterët e DShB për shfrytëzim të tyre në të gjitha njësitë shëndetësore.</w:t>
      </w:r>
    </w:p>
    <w:p w:rsidR="00BC1B24" w:rsidRPr="00EA1CA4" w:rsidRDefault="00BC1B24" w:rsidP="00624E04">
      <w:pPr>
        <w:spacing w:line="276" w:lineRule="auto"/>
        <w:jc w:val="both"/>
        <w:rPr>
          <w:b/>
        </w:rPr>
      </w:pPr>
      <w:bookmarkStart w:id="24" w:name="_Toc93005247"/>
    </w:p>
    <w:p w:rsidR="00AA2F50" w:rsidRPr="00EA1CA4" w:rsidRDefault="00AA2F50" w:rsidP="00624E04">
      <w:pPr>
        <w:spacing w:line="276" w:lineRule="auto"/>
        <w:jc w:val="both"/>
        <w:rPr>
          <w:b/>
          <w:lang w:eastAsia="en-US"/>
        </w:rPr>
      </w:pPr>
      <w:r w:rsidRPr="00EA1CA4">
        <w:rPr>
          <w:b/>
        </w:rPr>
        <w:t>Rezultati 1.4 Përmirës</w:t>
      </w:r>
      <w:r w:rsidR="002B3BE9" w:rsidRPr="00EA1CA4">
        <w:rPr>
          <w:b/>
        </w:rPr>
        <w:t xml:space="preserve">imi i </w:t>
      </w:r>
      <w:r w:rsidRPr="00EA1CA4">
        <w:rPr>
          <w:b/>
        </w:rPr>
        <w:t>aktivitete</w:t>
      </w:r>
      <w:r w:rsidR="002B3BE9" w:rsidRPr="00EA1CA4">
        <w:rPr>
          <w:b/>
        </w:rPr>
        <w:t xml:space="preserve">ve </w:t>
      </w:r>
      <w:r w:rsidRPr="00EA1CA4">
        <w:rPr>
          <w:b/>
        </w:rPr>
        <w:t>bashkëpunuese për TB/HIV dhe kujdesi</w:t>
      </w:r>
      <w:r w:rsidR="002B3BE9" w:rsidRPr="00EA1CA4">
        <w:rPr>
          <w:b/>
        </w:rPr>
        <w:t>t</w:t>
      </w:r>
      <w:r w:rsidRPr="00EA1CA4">
        <w:rPr>
          <w:b/>
        </w:rPr>
        <w:t xml:space="preserve"> </w:t>
      </w:r>
      <w:r w:rsidR="002B3BE9" w:rsidRPr="00EA1CA4">
        <w:rPr>
          <w:b/>
        </w:rPr>
        <w:t>të</w:t>
      </w:r>
      <w:r w:rsidRPr="00EA1CA4">
        <w:rPr>
          <w:b/>
        </w:rPr>
        <w:t xml:space="preserve"> integruar</w:t>
      </w:r>
      <w:bookmarkEnd w:id="24"/>
      <w:r w:rsidRPr="00EA1CA4">
        <w:rPr>
          <w:b/>
        </w:rPr>
        <w:t>.</w:t>
      </w:r>
    </w:p>
    <w:p w:rsidR="00BC1B24" w:rsidRPr="00EA1CA4" w:rsidRDefault="00BC1B24" w:rsidP="00624E04">
      <w:pPr>
        <w:spacing w:line="276" w:lineRule="auto"/>
        <w:jc w:val="both"/>
        <w:rPr>
          <w:b/>
          <w:i/>
        </w:rPr>
      </w:pPr>
    </w:p>
    <w:p w:rsidR="007D2655" w:rsidRPr="00EA1CA4" w:rsidRDefault="00AA2F50" w:rsidP="00624E04">
      <w:pPr>
        <w:spacing w:line="276" w:lineRule="auto"/>
        <w:jc w:val="both"/>
        <w:rPr>
          <w:b/>
          <w:i/>
        </w:rPr>
      </w:pPr>
      <w:r w:rsidRPr="00EA1CA4">
        <w:rPr>
          <w:b/>
          <w:i/>
        </w:rPr>
        <w:t>Aktivitetet e planifikuara</w:t>
      </w:r>
      <w:r w:rsidR="007D2655" w:rsidRPr="00EA1CA4">
        <w:rPr>
          <w:b/>
          <w:i/>
        </w:rPr>
        <w:t xml:space="preserve">: </w:t>
      </w:r>
    </w:p>
    <w:p w:rsidR="00AA2F50" w:rsidRPr="00EA1CA4" w:rsidRDefault="00AA2F50">
      <w:pPr>
        <w:pStyle w:val="ListParagraph"/>
        <w:numPr>
          <w:ilvl w:val="2"/>
          <w:numId w:val="8"/>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Forcimi i bashkëpunimit ndërmjet programeve kombëtare për </w:t>
      </w:r>
      <w:r w:rsidR="002B3BE9" w:rsidRPr="00EA1CA4">
        <w:rPr>
          <w:rFonts w:ascii="Times New Roman" w:hAnsi="Times New Roman"/>
          <w:sz w:val="24"/>
          <w:szCs w:val="24"/>
          <w:lang w:val="sq-AL"/>
        </w:rPr>
        <w:t>TB</w:t>
      </w:r>
      <w:r w:rsidRPr="00EA1CA4">
        <w:rPr>
          <w:rFonts w:ascii="Times New Roman" w:hAnsi="Times New Roman"/>
          <w:sz w:val="24"/>
          <w:szCs w:val="24"/>
          <w:lang w:val="sq-AL"/>
        </w:rPr>
        <w:t xml:space="preserve"> dhe HIV</w:t>
      </w:r>
    </w:p>
    <w:p w:rsidR="00AA2F50" w:rsidRPr="00EA1CA4" w:rsidRDefault="00AA2F50">
      <w:pPr>
        <w:pStyle w:val="ListParagraph"/>
        <w:numPr>
          <w:ilvl w:val="2"/>
          <w:numId w:val="8"/>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Rritja e testim</w:t>
      </w:r>
      <w:r w:rsidR="002B3BE9" w:rsidRPr="00EA1CA4">
        <w:rPr>
          <w:rFonts w:ascii="Times New Roman" w:hAnsi="Times New Roman"/>
          <w:sz w:val="24"/>
          <w:szCs w:val="24"/>
          <w:lang w:val="sq-AL"/>
        </w:rPr>
        <w:t>eve të</w:t>
      </w:r>
      <w:r w:rsidRPr="00EA1CA4">
        <w:rPr>
          <w:rFonts w:ascii="Times New Roman" w:hAnsi="Times New Roman"/>
          <w:sz w:val="24"/>
          <w:szCs w:val="24"/>
          <w:lang w:val="sq-AL"/>
        </w:rPr>
        <w:t xml:space="preserve"> HIV</w:t>
      </w:r>
      <w:r w:rsidR="002B3BE9" w:rsidRPr="00EA1CA4">
        <w:rPr>
          <w:rFonts w:ascii="Times New Roman" w:hAnsi="Times New Roman"/>
          <w:sz w:val="24"/>
          <w:szCs w:val="24"/>
          <w:lang w:val="sq-AL"/>
        </w:rPr>
        <w:t>-it</w:t>
      </w:r>
      <w:r w:rsidRPr="00EA1CA4">
        <w:rPr>
          <w:rFonts w:ascii="Times New Roman" w:hAnsi="Times New Roman"/>
          <w:sz w:val="24"/>
          <w:szCs w:val="24"/>
          <w:lang w:val="sq-AL"/>
        </w:rPr>
        <w:t xml:space="preserve"> për të gjithë pacientët me </w:t>
      </w:r>
      <w:r w:rsidR="002B3BE9" w:rsidRPr="00EA1CA4">
        <w:rPr>
          <w:rFonts w:ascii="Times New Roman" w:hAnsi="Times New Roman"/>
          <w:sz w:val="24"/>
          <w:szCs w:val="24"/>
          <w:lang w:val="sq-AL"/>
        </w:rPr>
        <w:t xml:space="preserve">TB, </w:t>
      </w:r>
      <w:r w:rsidRPr="00EA1CA4">
        <w:rPr>
          <w:rFonts w:ascii="Times New Roman" w:hAnsi="Times New Roman"/>
          <w:sz w:val="24"/>
          <w:szCs w:val="24"/>
          <w:lang w:val="sq-AL"/>
        </w:rPr>
        <w:t>duke synuar arritjen e testimit universal për HIV</w:t>
      </w:r>
      <w:r w:rsidR="002B3BE9" w:rsidRPr="00EA1CA4">
        <w:rPr>
          <w:rFonts w:ascii="Times New Roman" w:hAnsi="Times New Roman"/>
          <w:sz w:val="24"/>
          <w:szCs w:val="24"/>
          <w:lang w:val="sq-AL"/>
        </w:rPr>
        <w:t>,</w:t>
      </w:r>
      <w:r w:rsidRPr="00EA1CA4">
        <w:rPr>
          <w:rFonts w:ascii="Times New Roman" w:hAnsi="Times New Roman"/>
          <w:sz w:val="24"/>
          <w:szCs w:val="24"/>
          <w:lang w:val="sq-AL"/>
        </w:rPr>
        <w:t xml:space="preserve"> duke forcuar kapacitet</w:t>
      </w:r>
      <w:r w:rsidR="002B3BE9" w:rsidRPr="00EA1CA4">
        <w:rPr>
          <w:rFonts w:ascii="Times New Roman" w:hAnsi="Times New Roman"/>
          <w:sz w:val="24"/>
          <w:szCs w:val="24"/>
          <w:lang w:val="sq-AL"/>
        </w:rPr>
        <w:t xml:space="preserve">et e </w:t>
      </w:r>
      <w:r w:rsidRPr="00EA1CA4">
        <w:rPr>
          <w:rFonts w:ascii="Times New Roman" w:hAnsi="Times New Roman"/>
          <w:sz w:val="24"/>
          <w:szCs w:val="24"/>
          <w:lang w:val="sq-AL"/>
        </w:rPr>
        <w:t xml:space="preserve">stafit të laboratorit të TB për testimin e HIV. </w:t>
      </w:r>
    </w:p>
    <w:p w:rsidR="001630A3" w:rsidRPr="00EA1CA4" w:rsidRDefault="00AA2F50">
      <w:pPr>
        <w:pStyle w:val="ListParagraph"/>
        <w:numPr>
          <w:ilvl w:val="2"/>
          <w:numId w:val="8"/>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Forcimi i menaxhimit të integruar për rastet e pacientëve me HIV/TB</w:t>
      </w:r>
      <w:r w:rsidR="007D2655" w:rsidRPr="00EA1CA4">
        <w:rPr>
          <w:rFonts w:ascii="Times New Roman" w:hAnsi="Times New Roman"/>
          <w:sz w:val="24"/>
          <w:szCs w:val="24"/>
          <w:lang w:val="sq-AL"/>
        </w:rPr>
        <w:t>.</w:t>
      </w:r>
    </w:p>
    <w:p w:rsidR="00DA78D3" w:rsidRPr="00EA1CA4" w:rsidRDefault="00BC7956" w:rsidP="00DA78D3">
      <w:pPr>
        <w:spacing w:before="120" w:after="120" w:line="276" w:lineRule="auto"/>
        <w:jc w:val="both"/>
        <w:rPr>
          <w:b/>
        </w:rPr>
      </w:pPr>
      <w:r w:rsidRPr="00EA1CA4">
        <w:rPr>
          <w:b/>
          <w:lang w:eastAsia="en-US"/>
        </w:rPr>
        <w:t xml:space="preserve">Objektivi specifik </w:t>
      </w:r>
      <w:r w:rsidR="00DA78D3" w:rsidRPr="00EA1CA4">
        <w:rPr>
          <w:b/>
        </w:rPr>
        <w:t>2: Sigurimi i reagimit t</w:t>
      </w:r>
      <w:r w:rsidR="00D6333D" w:rsidRPr="00EA1CA4">
        <w:rPr>
          <w:b/>
        </w:rPr>
        <w:t>ë</w:t>
      </w:r>
      <w:r w:rsidR="00DA78D3" w:rsidRPr="00EA1CA4">
        <w:rPr>
          <w:b/>
        </w:rPr>
        <w:t xml:space="preserve"> q</w:t>
      </w:r>
      <w:r w:rsidR="00D6333D" w:rsidRPr="00EA1CA4">
        <w:rPr>
          <w:b/>
        </w:rPr>
        <w:t>ë</w:t>
      </w:r>
      <w:r w:rsidR="00DA78D3" w:rsidRPr="00EA1CA4">
        <w:rPr>
          <w:b/>
        </w:rPr>
        <w:t>druesh</w:t>
      </w:r>
      <w:r w:rsidR="00D6333D" w:rsidRPr="00EA1CA4">
        <w:rPr>
          <w:b/>
        </w:rPr>
        <w:t>ë</w:t>
      </w:r>
      <w:r w:rsidR="00DA78D3" w:rsidRPr="00EA1CA4">
        <w:rPr>
          <w:b/>
        </w:rPr>
        <w:t>m ndaj TB-s</w:t>
      </w:r>
      <w:r w:rsidR="00D6333D" w:rsidRPr="00EA1CA4">
        <w:rPr>
          <w:b/>
        </w:rPr>
        <w:t>ë</w:t>
      </w:r>
      <w:r w:rsidR="00DA78D3" w:rsidRPr="00EA1CA4">
        <w:rPr>
          <w:b/>
        </w:rPr>
        <w:t xml:space="preserve"> p</w:t>
      </w:r>
      <w:r w:rsidR="00D6333D" w:rsidRPr="00EA1CA4">
        <w:rPr>
          <w:b/>
        </w:rPr>
        <w:t>ë</w:t>
      </w:r>
      <w:r w:rsidR="00DA78D3" w:rsidRPr="00EA1CA4">
        <w:rPr>
          <w:b/>
        </w:rPr>
        <w:t>rmes forcimit t</w:t>
      </w:r>
      <w:r w:rsidR="00D6333D" w:rsidRPr="00EA1CA4">
        <w:rPr>
          <w:b/>
        </w:rPr>
        <w:t>ë</w:t>
      </w:r>
      <w:r w:rsidR="00DA78D3" w:rsidRPr="00EA1CA4">
        <w:rPr>
          <w:b/>
        </w:rPr>
        <w:t xml:space="preserve"> koordinimit, lidershipit dhe zotimit financiar dhe politik t</w:t>
      </w:r>
      <w:r w:rsidR="00D6333D" w:rsidRPr="00EA1CA4">
        <w:rPr>
          <w:b/>
        </w:rPr>
        <w:t>ë</w:t>
      </w:r>
      <w:r w:rsidR="00DA78D3" w:rsidRPr="00EA1CA4">
        <w:rPr>
          <w:b/>
        </w:rPr>
        <w:t xml:space="preserve"> Qeveris</w:t>
      </w:r>
      <w:r w:rsidR="00D6333D" w:rsidRPr="00EA1CA4">
        <w:rPr>
          <w:b/>
        </w:rPr>
        <w:t>ë</w:t>
      </w:r>
    </w:p>
    <w:p w:rsidR="00376FAA" w:rsidRPr="00EA1CA4" w:rsidRDefault="00376FAA" w:rsidP="00DA78D3"/>
    <w:p w:rsidR="00AA2F50" w:rsidRPr="00EA1CA4" w:rsidRDefault="00AA2F50" w:rsidP="00624E04">
      <w:pPr>
        <w:spacing w:line="276" w:lineRule="auto"/>
        <w:jc w:val="both"/>
        <w:rPr>
          <w:b/>
        </w:rPr>
      </w:pPr>
      <w:bookmarkStart w:id="25" w:name="_Toc93005249"/>
      <w:r w:rsidRPr="00EA1CA4">
        <w:rPr>
          <w:b/>
          <w:lang w:eastAsia="en-US"/>
        </w:rPr>
        <w:lastRenderedPageBreak/>
        <w:t xml:space="preserve">Rezultati 2.1 </w:t>
      </w:r>
      <w:r w:rsidR="00376FAA" w:rsidRPr="00EA1CA4">
        <w:rPr>
          <w:b/>
          <w:lang w:eastAsia="en-US"/>
        </w:rPr>
        <w:t>Ngritja e nivelit të</w:t>
      </w:r>
      <w:r w:rsidRPr="00EA1CA4">
        <w:rPr>
          <w:b/>
          <w:lang w:eastAsia="en-US"/>
        </w:rPr>
        <w:t xml:space="preserve"> qeverisjes, efektivitetit të koordinimit dhe menaxhimit kombëtar të programeve kombëtare për HIV dhe TB</w:t>
      </w:r>
      <w:bookmarkEnd w:id="25"/>
    </w:p>
    <w:p w:rsidR="00BC1B24" w:rsidRPr="00EA1CA4" w:rsidRDefault="00BC1B24" w:rsidP="00624E04">
      <w:pPr>
        <w:spacing w:line="276" w:lineRule="auto"/>
        <w:jc w:val="both"/>
        <w:rPr>
          <w:b/>
          <w:i/>
        </w:rPr>
      </w:pPr>
    </w:p>
    <w:p w:rsidR="00AA2F50" w:rsidRPr="00EA1CA4" w:rsidRDefault="00AA2F50" w:rsidP="00624E04">
      <w:pPr>
        <w:spacing w:line="276" w:lineRule="auto"/>
        <w:jc w:val="both"/>
      </w:pPr>
      <w:r w:rsidRPr="00EA1CA4">
        <w:rPr>
          <w:b/>
          <w:i/>
        </w:rPr>
        <w:t>Aktivitetet e planifikuara:</w:t>
      </w:r>
    </w:p>
    <w:p w:rsidR="00AA2F50" w:rsidRPr="00EA1CA4" w:rsidRDefault="00AA2F50">
      <w:pPr>
        <w:pStyle w:val="ListParagraph"/>
        <w:numPr>
          <w:ilvl w:val="2"/>
          <w:numId w:val="9"/>
        </w:numPr>
        <w:spacing w:before="120" w:after="0" w:line="276" w:lineRule="auto"/>
        <w:jc w:val="both"/>
        <w:rPr>
          <w:rFonts w:ascii="Times New Roman" w:hAnsi="Times New Roman"/>
          <w:color w:val="000000"/>
          <w:sz w:val="24"/>
          <w:szCs w:val="24"/>
          <w:lang w:val="sq-AL"/>
        </w:rPr>
      </w:pPr>
      <w:r w:rsidRPr="00EA1CA4">
        <w:rPr>
          <w:rFonts w:ascii="Times New Roman" w:hAnsi="Times New Roman"/>
          <w:color w:val="000000"/>
          <w:sz w:val="24"/>
          <w:szCs w:val="24"/>
          <w:lang w:val="sq-AL"/>
        </w:rPr>
        <w:t>Identifik</w:t>
      </w:r>
      <w:r w:rsidR="003531D1" w:rsidRPr="00EA1CA4">
        <w:rPr>
          <w:rFonts w:ascii="Times New Roman" w:hAnsi="Times New Roman"/>
          <w:color w:val="000000"/>
          <w:sz w:val="24"/>
          <w:szCs w:val="24"/>
          <w:lang w:val="sq-AL"/>
        </w:rPr>
        <w:t xml:space="preserve">imi i </w:t>
      </w:r>
      <w:r w:rsidRPr="00EA1CA4">
        <w:rPr>
          <w:rFonts w:ascii="Times New Roman" w:hAnsi="Times New Roman"/>
          <w:color w:val="000000"/>
          <w:sz w:val="24"/>
          <w:szCs w:val="24"/>
          <w:lang w:val="sq-AL"/>
        </w:rPr>
        <w:t>një autoritet</w:t>
      </w:r>
      <w:r w:rsidR="003531D1" w:rsidRPr="00EA1CA4">
        <w:rPr>
          <w:rFonts w:ascii="Times New Roman" w:hAnsi="Times New Roman"/>
          <w:color w:val="000000"/>
          <w:sz w:val="24"/>
          <w:szCs w:val="24"/>
          <w:lang w:val="sq-AL"/>
        </w:rPr>
        <w:t>i</w:t>
      </w:r>
      <w:r w:rsidRPr="00EA1CA4">
        <w:rPr>
          <w:rFonts w:ascii="Times New Roman" w:hAnsi="Times New Roman"/>
          <w:color w:val="000000"/>
          <w:sz w:val="24"/>
          <w:szCs w:val="24"/>
          <w:lang w:val="sq-AL"/>
        </w:rPr>
        <w:t xml:space="preserve"> kombëtar koordinues (AKK) që do të merr përsipë</w:t>
      </w:r>
      <w:r w:rsidR="00376FAA" w:rsidRPr="00EA1CA4">
        <w:rPr>
          <w:rFonts w:ascii="Times New Roman" w:hAnsi="Times New Roman"/>
          <w:color w:val="000000"/>
          <w:sz w:val="24"/>
          <w:szCs w:val="24"/>
          <w:lang w:val="sq-AL"/>
        </w:rPr>
        <w:t>r funksionet e MKV</w:t>
      </w:r>
      <w:r w:rsidRPr="00EA1CA4">
        <w:rPr>
          <w:rFonts w:ascii="Times New Roman" w:hAnsi="Times New Roman"/>
          <w:color w:val="000000"/>
          <w:sz w:val="24"/>
          <w:szCs w:val="24"/>
          <w:lang w:val="sq-AL"/>
        </w:rPr>
        <w:t xml:space="preserve"> dhe </w:t>
      </w:r>
      <w:r w:rsidR="003531D1" w:rsidRPr="00EA1CA4">
        <w:rPr>
          <w:rFonts w:ascii="Times New Roman" w:hAnsi="Times New Roman"/>
          <w:color w:val="000000"/>
          <w:sz w:val="24"/>
          <w:szCs w:val="24"/>
          <w:lang w:val="sq-AL"/>
        </w:rPr>
        <w:t xml:space="preserve">që </w:t>
      </w:r>
      <w:r w:rsidRPr="00EA1CA4">
        <w:rPr>
          <w:rFonts w:ascii="Times New Roman" w:hAnsi="Times New Roman"/>
          <w:color w:val="000000"/>
          <w:sz w:val="24"/>
          <w:szCs w:val="24"/>
          <w:lang w:val="sq-AL"/>
        </w:rPr>
        <w:t>do të përcaktojë dhe miratojë rolet, përgjegjësitë, anëtarësimin dhe pozicionimin e NCA-së të autorizuar ligjërisht në hierarkinë qeveritare që garanton përfaqësimin e OSHC-ve</w:t>
      </w:r>
    </w:p>
    <w:p w:rsidR="00AA2F50" w:rsidRPr="00EA1CA4" w:rsidRDefault="00AA2F50">
      <w:pPr>
        <w:pStyle w:val="ListParagraph"/>
        <w:numPr>
          <w:ilvl w:val="2"/>
          <w:numId w:val="9"/>
        </w:numPr>
        <w:spacing w:before="120" w:after="0" w:line="276" w:lineRule="auto"/>
        <w:jc w:val="both"/>
        <w:rPr>
          <w:rFonts w:ascii="Times New Roman" w:hAnsi="Times New Roman"/>
          <w:color w:val="000000"/>
          <w:sz w:val="24"/>
          <w:szCs w:val="24"/>
          <w:lang w:val="sq-AL"/>
        </w:rPr>
      </w:pPr>
      <w:r w:rsidRPr="00EA1CA4">
        <w:rPr>
          <w:rFonts w:ascii="Times New Roman" w:hAnsi="Times New Roman"/>
          <w:color w:val="000000"/>
          <w:sz w:val="24"/>
          <w:szCs w:val="24"/>
          <w:lang w:val="sq-AL"/>
        </w:rPr>
        <w:t>Sigur</w:t>
      </w:r>
      <w:r w:rsidR="003531D1" w:rsidRPr="00EA1CA4">
        <w:rPr>
          <w:rFonts w:ascii="Times New Roman" w:hAnsi="Times New Roman"/>
          <w:color w:val="000000"/>
          <w:sz w:val="24"/>
          <w:szCs w:val="24"/>
          <w:lang w:val="sq-AL"/>
        </w:rPr>
        <w:t xml:space="preserve">imi i </w:t>
      </w:r>
      <w:r w:rsidRPr="00EA1CA4">
        <w:rPr>
          <w:rFonts w:ascii="Times New Roman" w:hAnsi="Times New Roman"/>
          <w:color w:val="000000"/>
          <w:sz w:val="24"/>
          <w:szCs w:val="24"/>
          <w:lang w:val="sq-AL"/>
        </w:rPr>
        <w:t>miratimi</w:t>
      </w:r>
      <w:r w:rsidR="003531D1" w:rsidRPr="00EA1CA4">
        <w:rPr>
          <w:rFonts w:ascii="Times New Roman" w:hAnsi="Times New Roman"/>
          <w:color w:val="000000"/>
          <w:sz w:val="24"/>
          <w:szCs w:val="24"/>
          <w:lang w:val="sq-AL"/>
        </w:rPr>
        <w:t>t</w:t>
      </w:r>
      <w:r w:rsidRPr="00EA1CA4">
        <w:rPr>
          <w:rFonts w:ascii="Times New Roman" w:hAnsi="Times New Roman"/>
          <w:color w:val="000000"/>
          <w:sz w:val="24"/>
          <w:szCs w:val="24"/>
          <w:lang w:val="sq-AL"/>
        </w:rPr>
        <w:t xml:space="preserve"> </w:t>
      </w:r>
      <w:r w:rsidR="003531D1" w:rsidRPr="00EA1CA4">
        <w:rPr>
          <w:rFonts w:ascii="Times New Roman" w:hAnsi="Times New Roman"/>
          <w:color w:val="000000"/>
          <w:sz w:val="24"/>
          <w:szCs w:val="24"/>
          <w:lang w:val="sq-AL"/>
        </w:rPr>
        <w:t>të</w:t>
      </w:r>
      <w:r w:rsidRPr="00EA1CA4">
        <w:rPr>
          <w:rFonts w:ascii="Times New Roman" w:hAnsi="Times New Roman"/>
          <w:color w:val="000000"/>
          <w:sz w:val="24"/>
          <w:szCs w:val="24"/>
          <w:lang w:val="sq-AL"/>
        </w:rPr>
        <w:t xml:space="preserve"> Planit të Tranzicionit dhe Qëndrueshmërisë (PTQ) nga Qeveria</w:t>
      </w:r>
      <w:r w:rsidR="003531D1" w:rsidRPr="00EA1CA4">
        <w:rPr>
          <w:rFonts w:ascii="Times New Roman" w:hAnsi="Times New Roman"/>
          <w:color w:val="000000"/>
          <w:sz w:val="24"/>
          <w:szCs w:val="24"/>
          <w:lang w:val="sq-AL"/>
        </w:rPr>
        <w:t>,</w:t>
      </w:r>
      <w:r w:rsidRPr="00EA1CA4">
        <w:rPr>
          <w:rFonts w:ascii="Times New Roman" w:hAnsi="Times New Roman"/>
          <w:color w:val="000000"/>
          <w:sz w:val="24"/>
          <w:szCs w:val="24"/>
          <w:lang w:val="sq-AL"/>
        </w:rPr>
        <w:t xml:space="preserve"> </w:t>
      </w:r>
      <w:r w:rsidR="003531D1" w:rsidRPr="00EA1CA4">
        <w:rPr>
          <w:rFonts w:ascii="Times New Roman" w:hAnsi="Times New Roman"/>
          <w:color w:val="000000"/>
          <w:sz w:val="24"/>
          <w:szCs w:val="24"/>
          <w:lang w:val="sq-AL"/>
        </w:rPr>
        <w:t xml:space="preserve">si </w:t>
      </w:r>
      <w:r w:rsidRPr="00EA1CA4">
        <w:rPr>
          <w:rFonts w:ascii="Times New Roman" w:hAnsi="Times New Roman"/>
          <w:color w:val="000000"/>
          <w:sz w:val="24"/>
          <w:szCs w:val="24"/>
          <w:lang w:val="sq-AL"/>
        </w:rPr>
        <w:t>dhe përfshirje</w:t>
      </w:r>
      <w:r w:rsidR="003531D1" w:rsidRPr="00EA1CA4">
        <w:rPr>
          <w:rFonts w:ascii="Times New Roman" w:hAnsi="Times New Roman"/>
          <w:color w:val="000000"/>
          <w:sz w:val="24"/>
          <w:szCs w:val="24"/>
          <w:lang w:val="sq-AL"/>
        </w:rPr>
        <w:t>s</w:t>
      </w:r>
      <w:r w:rsidRPr="00EA1CA4">
        <w:rPr>
          <w:rFonts w:ascii="Times New Roman" w:hAnsi="Times New Roman"/>
          <w:color w:val="000000"/>
          <w:sz w:val="24"/>
          <w:szCs w:val="24"/>
          <w:lang w:val="sq-AL"/>
        </w:rPr>
        <w:t xml:space="preserve"> dhe miratimi</w:t>
      </w:r>
      <w:r w:rsidR="003531D1" w:rsidRPr="00EA1CA4">
        <w:rPr>
          <w:rFonts w:ascii="Times New Roman" w:hAnsi="Times New Roman"/>
          <w:color w:val="000000"/>
          <w:sz w:val="24"/>
          <w:szCs w:val="24"/>
          <w:lang w:val="sq-AL"/>
        </w:rPr>
        <w:t>t</w:t>
      </w:r>
      <w:r w:rsidRPr="00EA1CA4">
        <w:rPr>
          <w:rFonts w:ascii="Times New Roman" w:hAnsi="Times New Roman"/>
          <w:color w:val="000000"/>
          <w:sz w:val="24"/>
          <w:szCs w:val="24"/>
          <w:lang w:val="sq-AL"/>
        </w:rPr>
        <w:t xml:space="preserve"> </w:t>
      </w:r>
      <w:r w:rsidR="003531D1" w:rsidRPr="00EA1CA4">
        <w:rPr>
          <w:rFonts w:ascii="Times New Roman" w:hAnsi="Times New Roman"/>
          <w:color w:val="000000"/>
          <w:sz w:val="24"/>
          <w:szCs w:val="24"/>
          <w:lang w:val="sq-AL"/>
        </w:rPr>
        <w:t>të</w:t>
      </w:r>
      <w:r w:rsidRPr="00EA1CA4">
        <w:rPr>
          <w:rFonts w:ascii="Times New Roman" w:hAnsi="Times New Roman"/>
          <w:color w:val="000000"/>
          <w:sz w:val="24"/>
          <w:szCs w:val="24"/>
          <w:lang w:val="sq-AL"/>
        </w:rPr>
        <w:t xml:space="preserve"> aktiviteteve të PTQ në Planin Kombëtar të Veprimit</w:t>
      </w:r>
      <w:r w:rsidR="003531D1" w:rsidRPr="00EA1CA4">
        <w:rPr>
          <w:rFonts w:ascii="Times New Roman" w:hAnsi="Times New Roman"/>
          <w:color w:val="000000"/>
          <w:sz w:val="24"/>
          <w:szCs w:val="24"/>
          <w:lang w:val="sq-AL"/>
        </w:rPr>
        <w:t xml:space="preserve"> Strategjik kundër</w:t>
      </w:r>
      <w:r w:rsidRPr="00EA1CA4">
        <w:rPr>
          <w:rFonts w:ascii="Times New Roman" w:hAnsi="Times New Roman"/>
          <w:color w:val="000000"/>
          <w:sz w:val="24"/>
          <w:szCs w:val="24"/>
          <w:lang w:val="sq-AL"/>
        </w:rPr>
        <w:t xml:space="preserve"> TB</w:t>
      </w:r>
      <w:r w:rsidR="003531D1" w:rsidRPr="00EA1CA4">
        <w:rPr>
          <w:rFonts w:ascii="Times New Roman" w:hAnsi="Times New Roman"/>
          <w:color w:val="000000"/>
          <w:sz w:val="24"/>
          <w:szCs w:val="24"/>
          <w:lang w:val="sq-AL"/>
        </w:rPr>
        <w:t>-së</w:t>
      </w:r>
      <w:r w:rsidRPr="00EA1CA4">
        <w:rPr>
          <w:rFonts w:ascii="Times New Roman" w:hAnsi="Times New Roman"/>
          <w:color w:val="000000"/>
          <w:sz w:val="24"/>
          <w:szCs w:val="24"/>
          <w:lang w:val="sq-AL"/>
        </w:rPr>
        <w:t xml:space="preserve"> (</w:t>
      </w:r>
      <w:r w:rsidR="003531D1" w:rsidRPr="00EA1CA4">
        <w:rPr>
          <w:rFonts w:ascii="Times New Roman" w:hAnsi="Times New Roman"/>
          <w:color w:val="000000"/>
          <w:sz w:val="24"/>
          <w:szCs w:val="24"/>
          <w:lang w:val="sq-AL"/>
        </w:rPr>
        <w:t>PKVS-TB</w:t>
      </w:r>
      <w:r w:rsidRPr="00EA1CA4">
        <w:rPr>
          <w:rFonts w:ascii="Times New Roman" w:hAnsi="Times New Roman"/>
          <w:color w:val="000000"/>
          <w:sz w:val="24"/>
          <w:szCs w:val="24"/>
          <w:lang w:val="sq-AL"/>
        </w:rPr>
        <w:t>) i cili përfshin buxhetin dhe kornizën e M</w:t>
      </w:r>
      <w:r w:rsidR="003531D1" w:rsidRPr="00EA1CA4">
        <w:rPr>
          <w:rFonts w:ascii="Times New Roman" w:hAnsi="Times New Roman"/>
          <w:color w:val="000000"/>
          <w:sz w:val="24"/>
          <w:szCs w:val="24"/>
          <w:lang w:val="sq-AL"/>
        </w:rPr>
        <w:t xml:space="preserve"> dhe V</w:t>
      </w:r>
    </w:p>
    <w:p w:rsidR="007D2655" w:rsidRPr="00EA1CA4" w:rsidRDefault="00AA2F50">
      <w:pPr>
        <w:pStyle w:val="ListParagraph"/>
        <w:numPr>
          <w:ilvl w:val="2"/>
          <w:numId w:val="9"/>
        </w:numPr>
        <w:spacing w:before="120" w:after="0" w:line="276" w:lineRule="auto"/>
        <w:jc w:val="both"/>
        <w:rPr>
          <w:rFonts w:ascii="Times New Roman" w:hAnsi="Times New Roman"/>
          <w:color w:val="000000"/>
          <w:sz w:val="24"/>
          <w:szCs w:val="24"/>
          <w:lang w:val="sq-AL"/>
        </w:rPr>
      </w:pPr>
      <w:r w:rsidRPr="00EA1CA4">
        <w:rPr>
          <w:rFonts w:ascii="Times New Roman" w:hAnsi="Times New Roman"/>
          <w:sz w:val="24"/>
          <w:szCs w:val="24"/>
          <w:lang w:val="sq-AL"/>
        </w:rPr>
        <w:t>Zhvill</w:t>
      </w:r>
      <w:r w:rsidR="003531D1" w:rsidRPr="00EA1CA4">
        <w:rPr>
          <w:rFonts w:ascii="Times New Roman" w:hAnsi="Times New Roman"/>
          <w:sz w:val="24"/>
          <w:szCs w:val="24"/>
          <w:lang w:val="sq-AL"/>
        </w:rPr>
        <w:t xml:space="preserve">imi </w:t>
      </w:r>
      <w:r w:rsidRPr="00EA1CA4">
        <w:rPr>
          <w:rFonts w:ascii="Times New Roman" w:hAnsi="Times New Roman"/>
          <w:sz w:val="24"/>
          <w:szCs w:val="24"/>
          <w:lang w:val="sq-AL"/>
        </w:rPr>
        <w:t>dhe zbat</w:t>
      </w:r>
      <w:r w:rsidR="003531D1" w:rsidRPr="00EA1CA4">
        <w:rPr>
          <w:rFonts w:ascii="Times New Roman" w:hAnsi="Times New Roman"/>
          <w:sz w:val="24"/>
          <w:szCs w:val="24"/>
          <w:lang w:val="sq-AL"/>
        </w:rPr>
        <w:t xml:space="preserve">imi i </w:t>
      </w:r>
      <w:r w:rsidRPr="00EA1CA4">
        <w:rPr>
          <w:rFonts w:ascii="Times New Roman" w:hAnsi="Times New Roman"/>
          <w:sz w:val="24"/>
          <w:szCs w:val="24"/>
          <w:lang w:val="sq-AL"/>
        </w:rPr>
        <w:t>plani</w:t>
      </w:r>
      <w:r w:rsidR="003531D1" w:rsidRPr="00EA1CA4">
        <w:rPr>
          <w:rFonts w:ascii="Times New Roman" w:hAnsi="Times New Roman"/>
          <w:sz w:val="24"/>
          <w:szCs w:val="24"/>
          <w:lang w:val="sq-AL"/>
        </w:rPr>
        <w:t>t</w:t>
      </w:r>
      <w:r w:rsidRPr="00EA1CA4">
        <w:rPr>
          <w:rFonts w:ascii="Times New Roman" w:hAnsi="Times New Roman"/>
          <w:sz w:val="24"/>
          <w:szCs w:val="24"/>
          <w:lang w:val="sq-AL"/>
        </w:rPr>
        <w:t xml:space="preserve"> </w:t>
      </w:r>
      <w:r w:rsidR="003531D1" w:rsidRPr="00EA1CA4">
        <w:rPr>
          <w:rFonts w:ascii="Times New Roman" w:hAnsi="Times New Roman"/>
          <w:sz w:val="24"/>
          <w:szCs w:val="24"/>
          <w:lang w:val="sq-AL"/>
        </w:rPr>
        <w:t>për</w:t>
      </w:r>
      <w:r w:rsidRPr="00EA1CA4">
        <w:rPr>
          <w:rFonts w:ascii="Times New Roman" w:hAnsi="Times New Roman"/>
          <w:sz w:val="24"/>
          <w:szCs w:val="24"/>
          <w:lang w:val="sq-AL"/>
        </w:rPr>
        <w:t xml:space="preserve"> n</w:t>
      </w:r>
      <w:r w:rsidR="003531D1" w:rsidRPr="00EA1CA4">
        <w:rPr>
          <w:rFonts w:ascii="Times New Roman" w:hAnsi="Times New Roman"/>
          <w:sz w:val="24"/>
          <w:szCs w:val="24"/>
          <w:lang w:val="sq-AL"/>
        </w:rPr>
        <w:t xml:space="preserve">gritjen e </w:t>
      </w:r>
      <w:r w:rsidRPr="00EA1CA4">
        <w:rPr>
          <w:rFonts w:ascii="Times New Roman" w:hAnsi="Times New Roman"/>
          <w:sz w:val="24"/>
          <w:szCs w:val="24"/>
          <w:lang w:val="sq-AL"/>
        </w:rPr>
        <w:t>kapaciteteve të MSH-së dhe sigurimin e mbështetjes së koordinuar për rritjen e kapaciteteve të MSH-së përmes trajnimit të stafit të MSH-së në menaxhimin e programit, menaxhimin e financave publike, gjurmimin e burimeve, monitorimin dhe vlerësimin, etj</w:t>
      </w:r>
      <w:r w:rsidR="007D2655" w:rsidRPr="00EA1CA4">
        <w:rPr>
          <w:rFonts w:ascii="Times New Roman" w:hAnsi="Times New Roman"/>
          <w:sz w:val="24"/>
          <w:szCs w:val="24"/>
          <w:lang w:val="sq-AL"/>
        </w:rPr>
        <w:t xml:space="preserve">. </w:t>
      </w:r>
    </w:p>
    <w:p w:rsidR="007D2655" w:rsidRPr="00EA1CA4" w:rsidRDefault="007D2655" w:rsidP="00624E04">
      <w:pPr>
        <w:pStyle w:val="ListParagraph"/>
        <w:spacing w:before="120" w:after="120" w:line="276" w:lineRule="auto"/>
        <w:ind w:left="0"/>
        <w:jc w:val="both"/>
        <w:rPr>
          <w:rFonts w:ascii="Times New Roman" w:hAnsi="Times New Roman"/>
          <w:sz w:val="24"/>
          <w:szCs w:val="24"/>
          <w:lang w:val="sq-AL"/>
        </w:rPr>
      </w:pPr>
    </w:p>
    <w:p w:rsidR="00AA2F50" w:rsidRPr="00EA1CA4" w:rsidRDefault="00AA2F50" w:rsidP="00624E04">
      <w:pPr>
        <w:pStyle w:val="ListParagraph"/>
        <w:spacing w:before="120" w:after="120" w:line="276" w:lineRule="auto"/>
        <w:ind w:left="0"/>
        <w:jc w:val="both"/>
        <w:rPr>
          <w:rFonts w:ascii="Times New Roman" w:hAnsi="Times New Roman"/>
          <w:b/>
          <w:sz w:val="24"/>
          <w:szCs w:val="24"/>
          <w:lang w:val="sq-AL"/>
        </w:rPr>
      </w:pPr>
      <w:bookmarkStart w:id="26" w:name="_Toc93005250"/>
      <w:r w:rsidRPr="00EA1CA4">
        <w:rPr>
          <w:rFonts w:ascii="Times New Roman" w:hAnsi="Times New Roman"/>
          <w:b/>
          <w:sz w:val="24"/>
          <w:szCs w:val="24"/>
          <w:lang w:val="sq-AL"/>
        </w:rPr>
        <w:t>Rezultati 2.2 Arritja e pavarësisë financiare nga financimi i jashtëm dhe sigurimi i përdorimit efikas të burimeve publike</w:t>
      </w:r>
      <w:bookmarkEnd w:id="26"/>
    </w:p>
    <w:p w:rsidR="00AA2F50" w:rsidRPr="00EA1CA4" w:rsidRDefault="00AA2F50" w:rsidP="00624E04">
      <w:pPr>
        <w:spacing w:line="276" w:lineRule="auto"/>
        <w:jc w:val="both"/>
      </w:pPr>
      <w:r w:rsidRPr="00EA1CA4">
        <w:rPr>
          <w:b/>
          <w:i/>
        </w:rPr>
        <w:t>Aktivitetet e planifikuara</w:t>
      </w:r>
      <w:r w:rsidRPr="00EA1CA4">
        <w:t xml:space="preserve">: </w:t>
      </w:r>
    </w:p>
    <w:p w:rsidR="00AA2F50" w:rsidRPr="00EA1CA4" w:rsidRDefault="00AA2F50">
      <w:pPr>
        <w:pStyle w:val="ListParagraph"/>
        <w:numPr>
          <w:ilvl w:val="2"/>
          <w:numId w:val="10"/>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Intensifikimi i avokimit në nivel më të lartë të qeverisë</w:t>
      </w:r>
      <w:r w:rsidR="003531D1" w:rsidRPr="00EA1CA4">
        <w:rPr>
          <w:rFonts w:ascii="Times New Roman" w:hAnsi="Times New Roman"/>
          <w:sz w:val="24"/>
          <w:szCs w:val="24"/>
          <w:lang w:val="sq-AL"/>
        </w:rPr>
        <w:t>,</w:t>
      </w:r>
      <w:r w:rsidRPr="00EA1CA4">
        <w:rPr>
          <w:rFonts w:ascii="Times New Roman" w:hAnsi="Times New Roman"/>
          <w:sz w:val="24"/>
          <w:szCs w:val="24"/>
          <w:lang w:val="sq-AL"/>
        </w:rPr>
        <w:t xml:space="preserve"> për të përfituar dhe shpërndarë burimet e duhura financiare siç përshkruhet në Planin Kombëtar të Veprimit Strategjik </w:t>
      </w:r>
      <w:r w:rsidR="003531D1" w:rsidRPr="00EA1CA4">
        <w:rPr>
          <w:rFonts w:ascii="Times New Roman" w:hAnsi="Times New Roman"/>
          <w:sz w:val="24"/>
          <w:szCs w:val="24"/>
          <w:lang w:val="sq-AL"/>
        </w:rPr>
        <w:t>kundër</w:t>
      </w:r>
      <w:r w:rsidRPr="00EA1CA4">
        <w:rPr>
          <w:rFonts w:ascii="Times New Roman" w:hAnsi="Times New Roman"/>
          <w:sz w:val="24"/>
          <w:szCs w:val="24"/>
          <w:lang w:val="sq-AL"/>
        </w:rPr>
        <w:t xml:space="preserve"> TB</w:t>
      </w:r>
    </w:p>
    <w:p w:rsidR="009F07DF" w:rsidRPr="00EA1CA4" w:rsidRDefault="00AA2F50">
      <w:pPr>
        <w:pStyle w:val="ListParagraph"/>
        <w:numPr>
          <w:ilvl w:val="2"/>
          <w:numId w:val="10"/>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Monitor</w:t>
      </w:r>
      <w:r w:rsidR="003531D1" w:rsidRPr="00EA1CA4">
        <w:rPr>
          <w:rFonts w:ascii="Times New Roman" w:hAnsi="Times New Roman"/>
          <w:sz w:val="24"/>
          <w:szCs w:val="24"/>
          <w:lang w:val="sq-AL"/>
        </w:rPr>
        <w:t>imi i</w:t>
      </w:r>
      <w:r w:rsidRPr="00EA1CA4">
        <w:rPr>
          <w:rFonts w:ascii="Times New Roman" w:hAnsi="Times New Roman"/>
          <w:sz w:val="24"/>
          <w:szCs w:val="24"/>
          <w:lang w:val="sq-AL"/>
        </w:rPr>
        <w:t xml:space="preserve"> rregull</w:t>
      </w:r>
      <w:r w:rsidR="003531D1" w:rsidRPr="00EA1CA4">
        <w:rPr>
          <w:rFonts w:ascii="Times New Roman" w:hAnsi="Times New Roman"/>
          <w:sz w:val="24"/>
          <w:szCs w:val="24"/>
          <w:lang w:val="sq-AL"/>
        </w:rPr>
        <w:t>t</w:t>
      </w:r>
      <w:r w:rsidRPr="00EA1CA4">
        <w:rPr>
          <w:rFonts w:ascii="Times New Roman" w:hAnsi="Times New Roman"/>
          <w:sz w:val="24"/>
          <w:szCs w:val="24"/>
          <w:lang w:val="sq-AL"/>
        </w:rPr>
        <w:t xml:space="preserve"> </w:t>
      </w:r>
      <w:r w:rsidR="003531D1" w:rsidRPr="00EA1CA4">
        <w:rPr>
          <w:rFonts w:ascii="Times New Roman" w:hAnsi="Times New Roman"/>
          <w:sz w:val="24"/>
          <w:szCs w:val="24"/>
          <w:lang w:val="sq-AL"/>
        </w:rPr>
        <w:t xml:space="preserve">i </w:t>
      </w:r>
      <w:r w:rsidRPr="00EA1CA4">
        <w:rPr>
          <w:rFonts w:ascii="Times New Roman" w:hAnsi="Times New Roman"/>
          <w:sz w:val="24"/>
          <w:szCs w:val="24"/>
          <w:lang w:val="sq-AL"/>
        </w:rPr>
        <w:t>disbursime</w:t>
      </w:r>
      <w:r w:rsidR="003531D1" w:rsidRPr="00EA1CA4">
        <w:rPr>
          <w:rFonts w:ascii="Times New Roman" w:hAnsi="Times New Roman"/>
          <w:sz w:val="24"/>
          <w:szCs w:val="24"/>
          <w:lang w:val="sq-AL"/>
        </w:rPr>
        <w:t xml:space="preserve">ve </w:t>
      </w:r>
      <w:r w:rsidRPr="00EA1CA4">
        <w:rPr>
          <w:rFonts w:ascii="Times New Roman" w:hAnsi="Times New Roman"/>
          <w:sz w:val="24"/>
          <w:szCs w:val="24"/>
          <w:lang w:val="sq-AL"/>
        </w:rPr>
        <w:t>t</w:t>
      </w:r>
      <w:r w:rsidR="003531D1" w:rsidRPr="00EA1CA4">
        <w:rPr>
          <w:rFonts w:ascii="Times New Roman" w:hAnsi="Times New Roman"/>
          <w:sz w:val="24"/>
          <w:szCs w:val="24"/>
          <w:lang w:val="sq-AL"/>
        </w:rPr>
        <w:t>ë</w:t>
      </w:r>
      <w:r w:rsidRPr="00EA1CA4">
        <w:rPr>
          <w:rFonts w:ascii="Times New Roman" w:hAnsi="Times New Roman"/>
          <w:sz w:val="24"/>
          <w:szCs w:val="24"/>
          <w:lang w:val="sq-AL"/>
        </w:rPr>
        <w:t xml:space="preserve"> qeverisë dhe shpenzime</w:t>
      </w:r>
      <w:r w:rsidR="003531D1" w:rsidRPr="00EA1CA4">
        <w:rPr>
          <w:rFonts w:ascii="Times New Roman" w:hAnsi="Times New Roman"/>
          <w:sz w:val="24"/>
          <w:szCs w:val="24"/>
          <w:lang w:val="sq-AL"/>
        </w:rPr>
        <w:t xml:space="preserve">ve </w:t>
      </w:r>
      <w:r w:rsidRPr="00EA1CA4">
        <w:rPr>
          <w:rFonts w:ascii="Times New Roman" w:hAnsi="Times New Roman"/>
          <w:sz w:val="24"/>
          <w:szCs w:val="24"/>
          <w:lang w:val="sq-AL"/>
        </w:rPr>
        <w:t>t</w:t>
      </w:r>
      <w:r w:rsidR="003531D1" w:rsidRPr="00EA1CA4">
        <w:rPr>
          <w:rFonts w:ascii="Times New Roman" w:hAnsi="Times New Roman"/>
          <w:sz w:val="24"/>
          <w:szCs w:val="24"/>
          <w:lang w:val="sq-AL"/>
        </w:rPr>
        <w:t>ë</w:t>
      </w:r>
      <w:r w:rsidRPr="00EA1CA4">
        <w:rPr>
          <w:rFonts w:ascii="Times New Roman" w:hAnsi="Times New Roman"/>
          <w:sz w:val="24"/>
          <w:szCs w:val="24"/>
          <w:lang w:val="sq-AL"/>
        </w:rPr>
        <w:t xml:space="preserve"> fondeve publike për programet e TB</w:t>
      </w:r>
      <w:r w:rsidR="003531D1" w:rsidRPr="00EA1CA4">
        <w:rPr>
          <w:rFonts w:ascii="Times New Roman" w:hAnsi="Times New Roman"/>
          <w:sz w:val="24"/>
          <w:szCs w:val="24"/>
          <w:lang w:val="sq-AL"/>
        </w:rPr>
        <w:t>-së</w:t>
      </w:r>
      <w:r w:rsidR="009F07DF" w:rsidRPr="00EA1CA4">
        <w:rPr>
          <w:rFonts w:ascii="Times New Roman" w:hAnsi="Times New Roman"/>
          <w:sz w:val="24"/>
          <w:szCs w:val="24"/>
          <w:lang w:val="sq-AL"/>
        </w:rPr>
        <w:t>.</w:t>
      </w:r>
    </w:p>
    <w:p w:rsidR="007D2655" w:rsidRPr="00EA1CA4" w:rsidRDefault="007D2655" w:rsidP="00624E04">
      <w:pPr>
        <w:pStyle w:val="ListParagraph"/>
        <w:spacing w:before="120" w:after="120" w:line="276" w:lineRule="auto"/>
        <w:ind w:left="0"/>
        <w:jc w:val="both"/>
        <w:rPr>
          <w:rFonts w:ascii="Times New Roman" w:hAnsi="Times New Roman"/>
          <w:sz w:val="24"/>
          <w:szCs w:val="24"/>
          <w:lang w:val="sq-AL"/>
        </w:rPr>
      </w:pPr>
    </w:p>
    <w:p w:rsidR="00AA2F50" w:rsidRPr="00EA1CA4" w:rsidRDefault="003531D1" w:rsidP="00DA78D3">
      <w:pPr>
        <w:rPr>
          <w:b/>
        </w:rPr>
      </w:pPr>
      <w:bookmarkStart w:id="27" w:name="_Ref83040840"/>
      <w:bookmarkStart w:id="28" w:name="_Toc93005251"/>
      <w:bookmarkStart w:id="29" w:name="_Toc93072904"/>
      <w:r w:rsidRPr="00EA1CA4">
        <w:rPr>
          <w:b/>
        </w:rPr>
        <w:t>O</w:t>
      </w:r>
      <w:r w:rsidR="00BC7956" w:rsidRPr="00EA1CA4">
        <w:rPr>
          <w:b/>
        </w:rPr>
        <w:t>bjektivi specifik</w:t>
      </w:r>
      <w:r w:rsidRPr="00EA1CA4">
        <w:t xml:space="preserve"> </w:t>
      </w:r>
      <w:r w:rsidR="00AA2F50" w:rsidRPr="00EA1CA4">
        <w:rPr>
          <w:b/>
        </w:rPr>
        <w:t>3: Ndërt</w:t>
      </w:r>
      <w:r w:rsidRPr="00EA1CA4">
        <w:rPr>
          <w:b/>
        </w:rPr>
        <w:t xml:space="preserve">imi i </w:t>
      </w:r>
      <w:r w:rsidR="00AA2F50" w:rsidRPr="00EA1CA4">
        <w:rPr>
          <w:b/>
        </w:rPr>
        <w:t>sisteme</w:t>
      </w:r>
      <w:r w:rsidRPr="00EA1CA4">
        <w:rPr>
          <w:b/>
        </w:rPr>
        <w:t>ve</w:t>
      </w:r>
      <w:r w:rsidR="00AA2F50" w:rsidRPr="00EA1CA4">
        <w:rPr>
          <w:b/>
        </w:rPr>
        <w:t xml:space="preserve"> </w:t>
      </w:r>
      <w:r w:rsidRPr="00EA1CA4">
        <w:rPr>
          <w:b/>
        </w:rPr>
        <w:t xml:space="preserve">reziliente </w:t>
      </w:r>
      <w:r w:rsidR="00AA2F50" w:rsidRPr="00EA1CA4">
        <w:rPr>
          <w:b/>
        </w:rPr>
        <w:t>dhe të qëndrueshme për shëndetin</w:t>
      </w:r>
      <w:r w:rsidRPr="00EA1CA4">
        <w:rPr>
          <w:b/>
        </w:rPr>
        <w:t>,</w:t>
      </w:r>
      <w:r w:rsidR="00AA2F50" w:rsidRPr="00EA1CA4">
        <w:rPr>
          <w:b/>
        </w:rPr>
        <w:t xml:space="preserve"> për të lehtësuar tranzicionin e qetë dhe zbatimin efektiv të programit kombëtar për TB</w:t>
      </w:r>
      <w:bookmarkEnd w:id="27"/>
      <w:bookmarkEnd w:id="28"/>
      <w:bookmarkEnd w:id="29"/>
    </w:p>
    <w:p w:rsidR="00376FAA" w:rsidRPr="00EA1CA4" w:rsidRDefault="00376FAA" w:rsidP="00624E04">
      <w:pPr>
        <w:spacing w:line="276" w:lineRule="auto"/>
        <w:jc w:val="both"/>
        <w:rPr>
          <w:lang w:eastAsia="en-US"/>
        </w:rPr>
      </w:pPr>
    </w:p>
    <w:p w:rsidR="00AA2F50" w:rsidRPr="00EA1CA4" w:rsidRDefault="00AA2F50" w:rsidP="00624E04">
      <w:pPr>
        <w:spacing w:line="276" w:lineRule="auto"/>
        <w:jc w:val="both"/>
        <w:rPr>
          <w:b/>
        </w:rPr>
      </w:pPr>
      <w:bookmarkStart w:id="30" w:name="_Ref82876175"/>
      <w:bookmarkStart w:id="31" w:name="_Toc93005252"/>
      <w:r w:rsidRPr="00EA1CA4">
        <w:rPr>
          <w:b/>
        </w:rPr>
        <w:lastRenderedPageBreak/>
        <w:t>Rezultati 3.1. Institucionalizimi i mekanizmi</w:t>
      </w:r>
      <w:r w:rsidR="00E0015E" w:rsidRPr="00EA1CA4">
        <w:rPr>
          <w:b/>
        </w:rPr>
        <w:t>t</w:t>
      </w:r>
      <w:r w:rsidRPr="00EA1CA4">
        <w:rPr>
          <w:b/>
        </w:rPr>
        <w:t xml:space="preserve"> për kontraktimin e OSHC-ve për të ofruar shërbime për HIV dhe TB</w:t>
      </w:r>
      <w:bookmarkEnd w:id="30"/>
      <w:bookmarkEnd w:id="31"/>
      <w:r w:rsidRPr="00EA1CA4">
        <w:rPr>
          <w:b/>
        </w:rPr>
        <w:t>.</w:t>
      </w:r>
    </w:p>
    <w:p w:rsidR="003531D1" w:rsidRPr="00EA1CA4" w:rsidRDefault="003531D1" w:rsidP="00624E04">
      <w:pPr>
        <w:spacing w:line="276" w:lineRule="auto"/>
        <w:jc w:val="both"/>
        <w:rPr>
          <w:b/>
          <w:i/>
          <w:color w:val="000000"/>
        </w:rPr>
      </w:pPr>
    </w:p>
    <w:p w:rsidR="00AA2F50" w:rsidRPr="00EA1CA4" w:rsidRDefault="00AA2F50" w:rsidP="00624E04">
      <w:pPr>
        <w:spacing w:line="276" w:lineRule="auto"/>
        <w:jc w:val="both"/>
        <w:rPr>
          <w:b/>
          <w:i/>
          <w:color w:val="000000"/>
        </w:rPr>
      </w:pPr>
      <w:r w:rsidRPr="00EA1CA4">
        <w:rPr>
          <w:b/>
          <w:i/>
          <w:color w:val="000000"/>
        </w:rPr>
        <w:t xml:space="preserve">Aktivitetet e planifikuara: </w:t>
      </w:r>
    </w:p>
    <w:p w:rsidR="00AA2F50" w:rsidRPr="00EA1CA4" w:rsidRDefault="00AA2F50">
      <w:pPr>
        <w:pStyle w:val="ListParagraph"/>
        <w:numPr>
          <w:ilvl w:val="2"/>
          <w:numId w:val="11"/>
        </w:numPr>
        <w:spacing w:before="120" w:after="0" w:line="276" w:lineRule="auto"/>
        <w:jc w:val="both"/>
        <w:rPr>
          <w:rFonts w:ascii="Times New Roman" w:hAnsi="Times New Roman"/>
          <w:color w:val="000000"/>
          <w:sz w:val="24"/>
          <w:szCs w:val="24"/>
          <w:lang w:val="sq-AL"/>
        </w:rPr>
      </w:pPr>
      <w:r w:rsidRPr="00EA1CA4">
        <w:rPr>
          <w:rFonts w:ascii="Times New Roman" w:hAnsi="Times New Roman"/>
          <w:color w:val="000000"/>
          <w:sz w:val="24"/>
          <w:szCs w:val="24"/>
          <w:lang w:val="sq-AL"/>
        </w:rPr>
        <w:t xml:space="preserve">Zhvillimi, pilotimi dhe miratimi i mekanizmit kontraktues të OSHC-ve për </w:t>
      </w:r>
      <w:r w:rsidR="00E0015E" w:rsidRPr="00EA1CA4">
        <w:rPr>
          <w:rFonts w:ascii="Times New Roman" w:hAnsi="Times New Roman"/>
          <w:color w:val="000000"/>
          <w:sz w:val="24"/>
          <w:szCs w:val="24"/>
          <w:lang w:val="sq-AL"/>
        </w:rPr>
        <w:t xml:space="preserve">të ofruar </w:t>
      </w:r>
      <w:r w:rsidRPr="00EA1CA4">
        <w:rPr>
          <w:rFonts w:ascii="Times New Roman" w:hAnsi="Times New Roman"/>
          <w:color w:val="000000"/>
          <w:sz w:val="24"/>
          <w:szCs w:val="24"/>
          <w:lang w:val="sq-AL"/>
        </w:rPr>
        <w:t>shërbime</w:t>
      </w:r>
      <w:r w:rsidR="00E0015E" w:rsidRPr="00EA1CA4">
        <w:rPr>
          <w:rFonts w:ascii="Times New Roman" w:hAnsi="Times New Roman"/>
          <w:color w:val="000000"/>
          <w:sz w:val="24"/>
          <w:szCs w:val="24"/>
          <w:lang w:val="sq-AL"/>
        </w:rPr>
        <w:t xml:space="preserve"> për</w:t>
      </w:r>
      <w:r w:rsidRPr="00EA1CA4">
        <w:rPr>
          <w:rFonts w:ascii="Times New Roman" w:hAnsi="Times New Roman"/>
          <w:color w:val="000000"/>
          <w:sz w:val="24"/>
          <w:szCs w:val="24"/>
          <w:lang w:val="sq-AL"/>
        </w:rPr>
        <w:t xml:space="preserve"> HIV</w:t>
      </w:r>
      <w:r w:rsidR="00E0015E" w:rsidRPr="00EA1CA4">
        <w:rPr>
          <w:rFonts w:ascii="Times New Roman" w:hAnsi="Times New Roman"/>
          <w:color w:val="000000"/>
          <w:sz w:val="24"/>
          <w:szCs w:val="24"/>
          <w:lang w:val="sq-AL"/>
        </w:rPr>
        <w:t xml:space="preserve"> dhe T</w:t>
      </w:r>
      <w:r w:rsidRPr="00EA1CA4">
        <w:rPr>
          <w:rFonts w:ascii="Times New Roman" w:hAnsi="Times New Roman"/>
          <w:color w:val="000000"/>
          <w:sz w:val="24"/>
          <w:szCs w:val="24"/>
          <w:lang w:val="sq-AL"/>
        </w:rPr>
        <w:t>B</w:t>
      </w:r>
    </w:p>
    <w:p w:rsidR="00D307FC" w:rsidRPr="00EA1CA4" w:rsidRDefault="00AA2F50">
      <w:pPr>
        <w:pStyle w:val="ListParagraph"/>
        <w:numPr>
          <w:ilvl w:val="2"/>
          <w:numId w:val="11"/>
        </w:numPr>
        <w:spacing w:before="120" w:after="0" w:line="276" w:lineRule="auto"/>
        <w:jc w:val="both"/>
        <w:rPr>
          <w:rFonts w:ascii="Times New Roman" w:hAnsi="Times New Roman"/>
          <w:color w:val="000000"/>
          <w:sz w:val="24"/>
          <w:szCs w:val="24"/>
          <w:lang w:val="sq-AL"/>
        </w:rPr>
      </w:pPr>
      <w:r w:rsidRPr="00EA1CA4">
        <w:rPr>
          <w:rFonts w:ascii="Times New Roman" w:hAnsi="Times New Roman"/>
          <w:sz w:val="24"/>
          <w:szCs w:val="24"/>
          <w:lang w:val="sq-AL"/>
        </w:rPr>
        <w:t>Hart</w:t>
      </w:r>
      <w:r w:rsidR="00E0015E" w:rsidRPr="00EA1CA4">
        <w:rPr>
          <w:rFonts w:ascii="Times New Roman" w:hAnsi="Times New Roman"/>
          <w:sz w:val="24"/>
          <w:szCs w:val="24"/>
          <w:lang w:val="sq-AL"/>
        </w:rPr>
        <w:t xml:space="preserve">imi </w:t>
      </w:r>
      <w:r w:rsidRPr="00EA1CA4">
        <w:rPr>
          <w:rFonts w:ascii="Times New Roman" w:hAnsi="Times New Roman"/>
          <w:sz w:val="24"/>
          <w:szCs w:val="24"/>
          <w:lang w:val="sq-AL"/>
        </w:rPr>
        <w:t>dhe dorëz</w:t>
      </w:r>
      <w:r w:rsidR="00E0015E" w:rsidRPr="00EA1CA4">
        <w:rPr>
          <w:rFonts w:ascii="Times New Roman" w:hAnsi="Times New Roman"/>
          <w:sz w:val="24"/>
          <w:szCs w:val="24"/>
          <w:lang w:val="sq-AL"/>
        </w:rPr>
        <w:t xml:space="preserve">imi </w:t>
      </w:r>
      <w:r w:rsidRPr="00EA1CA4">
        <w:rPr>
          <w:rFonts w:ascii="Times New Roman" w:hAnsi="Times New Roman"/>
          <w:sz w:val="24"/>
          <w:szCs w:val="24"/>
          <w:lang w:val="sq-AL"/>
        </w:rPr>
        <w:t xml:space="preserve">në MSH </w:t>
      </w:r>
      <w:r w:rsidR="00E0015E" w:rsidRPr="00EA1CA4">
        <w:rPr>
          <w:rFonts w:ascii="Times New Roman" w:hAnsi="Times New Roman"/>
          <w:sz w:val="24"/>
          <w:szCs w:val="24"/>
          <w:lang w:val="sq-AL"/>
        </w:rPr>
        <w:t xml:space="preserve">i </w:t>
      </w:r>
      <w:r w:rsidRPr="00EA1CA4">
        <w:rPr>
          <w:rFonts w:ascii="Times New Roman" w:hAnsi="Times New Roman"/>
          <w:sz w:val="24"/>
          <w:szCs w:val="24"/>
          <w:lang w:val="sq-AL"/>
        </w:rPr>
        <w:t>propozimi</w:t>
      </w:r>
      <w:r w:rsidR="00E0015E" w:rsidRPr="00EA1CA4">
        <w:rPr>
          <w:rFonts w:ascii="Times New Roman" w:hAnsi="Times New Roman"/>
          <w:sz w:val="24"/>
          <w:szCs w:val="24"/>
          <w:lang w:val="sq-AL"/>
        </w:rPr>
        <w:t>t</w:t>
      </w:r>
      <w:r w:rsidRPr="00EA1CA4">
        <w:rPr>
          <w:rFonts w:ascii="Times New Roman" w:hAnsi="Times New Roman"/>
          <w:sz w:val="24"/>
          <w:szCs w:val="24"/>
          <w:lang w:val="sq-AL"/>
        </w:rPr>
        <w:t xml:space="preserve"> </w:t>
      </w:r>
      <w:r w:rsidR="00E0015E" w:rsidRPr="00EA1CA4">
        <w:rPr>
          <w:rFonts w:ascii="Times New Roman" w:hAnsi="Times New Roman"/>
          <w:sz w:val="24"/>
          <w:szCs w:val="24"/>
          <w:lang w:val="sq-AL"/>
        </w:rPr>
        <w:t>të</w:t>
      </w:r>
      <w:r w:rsidRPr="00EA1CA4">
        <w:rPr>
          <w:rFonts w:ascii="Times New Roman" w:hAnsi="Times New Roman"/>
          <w:sz w:val="24"/>
          <w:szCs w:val="24"/>
          <w:lang w:val="sq-AL"/>
        </w:rPr>
        <w:t xml:space="preserve"> ndryshimeve në Ligjin për Shëndetësinë</w:t>
      </w:r>
      <w:r w:rsidR="00E0015E" w:rsidRPr="00EA1CA4">
        <w:rPr>
          <w:rFonts w:ascii="Times New Roman" w:hAnsi="Times New Roman"/>
          <w:sz w:val="24"/>
          <w:szCs w:val="24"/>
          <w:lang w:val="sq-AL"/>
        </w:rPr>
        <w:t>,</w:t>
      </w:r>
      <w:r w:rsidRPr="00EA1CA4">
        <w:rPr>
          <w:rFonts w:ascii="Times New Roman" w:hAnsi="Times New Roman"/>
          <w:sz w:val="24"/>
          <w:szCs w:val="24"/>
          <w:lang w:val="sq-AL"/>
        </w:rPr>
        <w:t xml:space="preserve"> që përfshin nenet për kontraktimin dhe licencimin e OSHC-ve (nëse është e zbatueshme) për të ofruar shërbime në sektorin shëndetësor, duke përfshirë shërbimet e TB-së dhe HIV-it</w:t>
      </w:r>
      <w:r w:rsidR="00E0015E" w:rsidRPr="00EA1CA4">
        <w:rPr>
          <w:rFonts w:ascii="Times New Roman" w:hAnsi="Times New Roman"/>
          <w:sz w:val="24"/>
          <w:szCs w:val="24"/>
          <w:lang w:val="sq-AL"/>
        </w:rPr>
        <w:t>,</w:t>
      </w:r>
      <w:r w:rsidRPr="00EA1CA4">
        <w:rPr>
          <w:rFonts w:ascii="Times New Roman" w:hAnsi="Times New Roman"/>
          <w:sz w:val="24"/>
          <w:szCs w:val="24"/>
          <w:lang w:val="sq-AL"/>
        </w:rPr>
        <w:t xml:space="preserve"> dhe </w:t>
      </w:r>
      <w:r w:rsidR="00E0015E" w:rsidRPr="00EA1CA4">
        <w:rPr>
          <w:rFonts w:ascii="Times New Roman" w:hAnsi="Times New Roman"/>
          <w:sz w:val="24"/>
          <w:szCs w:val="24"/>
          <w:lang w:val="sq-AL"/>
        </w:rPr>
        <w:t xml:space="preserve">shërbimeve të </w:t>
      </w:r>
      <w:r w:rsidRPr="00EA1CA4">
        <w:rPr>
          <w:rFonts w:ascii="Times New Roman" w:hAnsi="Times New Roman"/>
          <w:sz w:val="24"/>
          <w:szCs w:val="24"/>
          <w:lang w:val="sq-AL"/>
        </w:rPr>
        <w:t>TB-së</w:t>
      </w:r>
      <w:r w:rsidR="00E0015E" w:rsidRPr="00EA1CA4">
        <w:rPr>
          <w:rFonts w:ascii="Times New Roman" w:hAnsi="Times New Roman"/>
          <w:sz w:val="24"/>
          <w:szCs w:val="24"/>
          <w:lang w:val="sq-AL"/>
        </w:rPr>
        <w:t>, si</w:t>
      </w:r>
      <w:r w:rsidRPr="00EA1CA4">
        <w:rPr>
          <w:rFonts w:ascii="Times New Roman" w:hAnsi="Times New Roman"/>
          <w:sz w:val="24"/>
          <w:szCs w:val="24"/>
          <w:lang w:val="sq-AL"/>
        </w:rPr>
        <w:t xml:space="preserve"> dhe ofrimin e asistencës teknike</w:t>
      </w:r>
    </w:p>
    <w:p w:rsidR="00D307FC" w:rsidRPr="00EA1CA4" w:rsidRDefault="00D307FC">
      <w:pPr>
        <w:pStyle w:val="ListParagraph"/>
        <w:numPr>
          <w:ilvl w:val="2"/>
          <w:numId w:val="11"/>
        </w:numPr>
        <w:spacing w:before="120" w:after="0" w:line="276" w:lineRule="auto"/>
        <w:jc w:val="both"/>
        <w:rPr>
          <w:rFonts w:ascii="Times New Roman" w:hAnsi="Times New Roman"/>
          <w:color w:val="000000"/>
          <w:sz w:val="24"/>
          <w:szCs w:val="24"/>
          <w:lang w:val="sq-AL"/>
        </w:rPr>
      </w:pPr>
      <w:r w:rsidRPr="00EA1CA4">
        <w:rPr>
          <w:rFonts w:ascii="Times New Roman" w:hAnsi="Times New Roman"/>
          <w:sz w:val="24"/>
          <w:szCs w:val="24"/>
          <w:lang w:val="sq-AL"/>
        </w:rPr>
        <w:t>Hart</w:t>
      </w:r>
      <w:r w:rsidR="00E0015E" w:rsidRPr="00EA1CA4">
        <w:rPr>
          <w:rFonts w:ascii="Times New Roman" w:hAnsi="Times New Roman"/>
          <w:sz w:val="24"/>
          <w:szCs w:val="24"/>
          <w:lang w:val="sq-AL"/>
        </w:rPr>
        <w:t xml:space="preserve">imi </w:t>
      </w:r>
      <w:r w:rsidRPr="00EA1CA4">
        <w:rPr>
          <w:rFonts w:ascii="Times New Roman" w:hAnsi="Times New Roman"/>
          <w:sz w:val="24"/>
          <w:szCs w:val="24"/>
          <w:lang w:val="sq-AL"/>
        </w:rPr>
        <w:t>dhe zbat</w:t>
      </w:r>
      <w:r w:rsidR="00E0015E" w:rsidRPr="00EA1CA4">
        <w:rPr>
          <w:rFonts w:ascii="Times New Roman" w:hAnsi="Times New Roman"/>
          <w:sz w:val="24"/>
          <w:szCs w:val="24"/>
          <w:lang w:val="sq-AL"/>
        </w:rPr>
        <w:t xml:space="preserve">imi i </w:t>
      </w:r>
      <w:r w:rsidRPr="00EA1CA4">
        <w:rPr>
          <w:rFonts w:ascii="Times New Roman" w:hAnsi="Times New Roman"/>
          <w:sz w:val="24"/>
          <w:szCs w:val="24"/>
          <w:lang w:val="sq-AL"/>
        </w:rPr>
        <w:t>legjislacioni</w:t>
      </w:r>
      <w:r w:rsidR="00E0015E" w:rsidRPr="00EA1CA4">
        <w:rPr>
          <w:rFonts w:ascii="Times New Roman" w:hAnsi="Times New Roman"/>
          <w:sz w:val="24"/>
          <w:szCs w:val="24"/>
          <w:lang w:val="sq-AL"/>
        </w:rPr>
        <w:t>t</w:t>
      </w:r>
      <w:r w:rsidRPr="00EA1CA4">
        <w:rPr>
          <w:rFonts w:ascii="Times New Roman" w:hAnsi="Times New Roman"/>
          <w:sz w:val="24"/>
          <w:szCs w:val="24"/>
          <w:lang w:val="sq-AL"/>
        </w:rPr>
        <w:t xml:space="preserve"> </w:t>
      </w:r>
      <w:r w:rsidR="00E0015E" w:rsidRPr="00EA1CA4">
        <w:rPr>
          <w:rFonts w:ascii="Times New Roman" w:hAnsi="Times New Roman"/>
          <w:sz w:val="24"/>
          <w:szCs w:val="24"/>
          <w:lang w:val="sq-AL"/>
        </w:rPr>
        <w:t xml:space="preserve">sekondar </w:t>
      </w:r>
      <w:r w:rsidRPr="00EA1CA4">
        <w:rPr>
          <w:rFonts w:ascii="Times New Roman" w:hAnsi="Times New Roman"/>
          <w:sz w:val="24"/>
          <w:szCs w:val="24"/>
          <w:lang w:val="sq-AL"/>
        </w:rPr>
        <w:t xml:space="preserve">përkatës që përkufizon procedurat për të siguruar qasjen e OSHC-ve në fonde publike për të ofruar shërbime shëndetësore specifike siç përcaktohen nga MSH, duke përfshirë </w:t>
      </w:r>
      <w:r w:rsidR="00E0015E" w:rsidRPr="00EA1CA4">
        <w:rPr>
          <w:rFonts w:ascii="Times New Roman" w:hAnsi="Times New Roman"/>
          <w:sz w:val="24"/>
          <w:szCs w:val="24"/>
          <w:lang w:val="sq-AL"/>
        </w:rPr>
        <w:t xml:space="preserve">shërbimet për </w:t>
      </w:r>
      <w:r w:rsidRPr="00EA1CA4">
        <w:rPr>
          <w:rFonts w:ascii="Times New Roman" w:hAnsi="Times New Roman"/>
          <w:sz w:val="24"/>
          <w:szCs w:val="24"/>
          <w:lang w:val="sq-AL"/>
        </w:rPr>
        <w:t>TB dhe HIV</w:t>
      </w:r>
    </w:p>
    <w:p w:rsidR="00D307FC" w:rsidRPr="00EA1CA4" w:rsidRDefault="00D307FC">
      <w:pPr>
        <w:pStyle w:val="ListParagraph"/>
        <w:numPr>
          <w:ilvl w:val="2"/>
          <w:numId w:val="11"/>
        </w:numPr>
        <w:spacing w:before="120" w:after="0" w:line="276" w:lineRule="auto"/>
        <w:jc w:val="both"/>
        <w:rPr>
          <w:rFonts w:ascii="Times New Roman" w:hAnsi="Times New Roman"/>
          <w:color w:val="000000"/>
          <w:sz w:val="24"/>
          <w:szCs w:val="24"/>
          <w:lang w:val="sq-AL"/>
        </w:rPr>
      </w:pPr>
      <w:r w:rsidRPr="00EA1CA4">
        <w:rPr>
          <w:rFonts w:ascii="Times New Roman" w:hAnsi="Times New Roman"/>
          <w:sz w:val="24"/>
          <w:szCs w:val="24"/>
          <w:lang w:val="sq-AL"/>
        </w:rPr>
        <w:t>Përcakt</w:t>
      </w:r>
      <w:r w:rsidR="00E0015E" w:rsidRPr="00EA1CA4">
        <w:rPr>
          <w:rFonts w:ascii="Times New Roman" w:hAnsi="Times New Roman"/>
          <w:sz w:val="24"/>
          <w:szCs w:val="24"/>
          <w:lang w:val="sq-AL"/>
        </w:rPr>
        <w:t xml:space="preserve">imi i </w:t>
      </w:r>
      <w:r w:rsidRPr="00EA1CA4">
        <w:rPr>
          <w:rFonts w:ascii="Times New Roman" w:hAnsi="Times New Roman"/>
          <w:sz w:val="24"/>
          <w:szCs w:val="24"/>
          <w:lang w:val="sq-AL"/>
        </w:rPr>
        <w:t>mekanizma</w:t>
      </w:r>
      <w:r w:rsidR="00E0015E" w:rsidRPr="00EA1CA4">
        <w:rPr>
          <w:rFonts w:ascii="Times New Roman" w:hAnsi="Times New Roman"/>
          <w:sz w:val="24"/>
          <w:szCs w:val="24"/>
          <w:lang w:val="sq-AL"/>
        </w:rPr>
        <w:t xml:space="preserve">ve </w:t>
      </w:r>
      <w:r w:rsidRPr="00EA1CA4">
        <w:rPr>
          <w:rFonts w:ascii="Times New Roman" w:hAnsi="Times New Roman"/>
          <w:sz w:val="24"/>
          <w:szCs w:val="24"/>
          <w:lang w:val="sq-AL"/>
        </w:rPr>
        <w:t>t</w:t>
      </w:r>
      <w:r w:rsidR="00E0015E" w:rsidRPr="00EA1CA4">
        <w:rPr>
          <w:rFonts w:ascii="Times New Roman" w:hAnsi="Times New Roman"/>
          <w:sz w:val="24"/>
          <w:szCs w:val="24"/>
          <w:lang w:val="sq-AL"/>
        </w:rPr>
        <w:t>ë</w:t>
      </w:r>
      <w:r w:rsidRPr="00EA1CA4">
        <w:rPr>
          <w:rFonts w:ascii="Times New Roman" w:hAnsi="Times New Roman"/>
          <w:sz w:val="24"/>
          <w:szCs w:val="24"/>
          <w:lang w:val="sq-AL"/>
        </w:rPr>
        <w:t xml:space="preserve"> mundshëm për </w:t>
      </w:r>
      <w:r w:rsidR="00E0015E" w:rsidRPr="00EA1CA4">
        <w:rPr>
          <w:rFonts w:ascii="Times New Roman" w:hAnsi="Times New Roman"/>
          <w:sz w:val="24"/>
          <w:szCs w:val="24"/>
          <w:lang w:val="sq-AL"/>
        </w:rPr>
        <w:t xml:space="preserve">ndarjen </w:t>
      </w:r>
      <w:r w:rsidRPr="00EA1CA4">
        <w:rPr>
          <w:rFonts w:ascii="Times New Roman" w:hAnsi="Times New Roman"/>
          <w:sz w:val="24"/>
          <w:szCs w:val="24"/>
          <w:lang w:val="sq-AL"/>
        </w:rPr>
        <w:t>e fondeve të dedikuara për kontraktimin e OS</w:t>
      </w:r>
      <w:r w:rsidR="00E0015E" w:rsidRPr="00EA1CA4">
        <w:rPr>
          <w:rFonts w:ascii="Times New Roman" w:hAnsi="Times New Roman"/>
          <w:sz w:val="24"/>
          <w:szCs w:val="24"/>
          <w:lang w:val="sq-AL"/>
        </w:rPr>
        <w:t>H</w:t>
      </w:r>
      <w:r w:rsidRPr="00EA1CA4">
        <w:rPr>
          <w:rFonts w:ascii="Times New Roman" w:hAnsi="Times New Roman"/>
          <w:sz w:val="24"/>
          <w:szCs w:val="24"/>
          <w:lang w:val="sq-AL"/>
        </w:rPr>
        <w:t>C-ve për ofrimin e shërbimit të TB</w:t>
      </w:r>
      <w:r w:rsidR="00E0015E" w:rsidRPr="00EA1CA4">
        <w:rPr>
          <w:rFonts w:ascii="Times New Roman" w:hAnsi="Times New Roman"/>
          <w:sz w:val="24"/>
          <w:szCs w:val="24"/>
          <w:lang w:val="sq-AL"/>
        </w:rPr>
        <w:t>-së</w:t>
      </w:r>
    </w:p>
    <w:p w:rsidR="00D307FC" w:rsidRPr="00EA1CA4" w:rsidRDefault="00D307FC">
      <w:pPr>
        <w:pStyle w:val="ListParagraph"/>
        <w:numPr>
          <w:ilvl w:val="2"/>
          <w:numId w:val="11"/>
        </w:numPr>
        <w:spacing w:before="120" w:after="0" w:line="276" w:lineRule="auto"/>
        <w:jc w:val="both"/>
        <w:rPr>
          <w:rFonts w:ascii="Times New Roman" w:hAnsi="Times New Roman"/>
          <w:color w:val="000000"/>
          <w:sz w:val="24"/>
          <w:szCs w:val="24"/>
          <w:lang w:val="sq-AL"/>
        </w:rPr>
      </w:pPr>
      <w:r w:rsidRPr="00EA1CA4">
        <w:rPr>
          <w:rFonts w:ascii="Times New Roman" w:hAnsi="Times New Roman"/>
          <w:sz w:val="24"/>
          <w:szCs w:val="24"/>
          <w:lang w:val="sq-AL"/>
        </w:rPr>
        <w:t>Hart</w:t>
      </w:r>
      <w:r w:rsidR="00E0015E" w:rsidRPr="00EA1CA4">
        <w:rPr>
          <w:rFonts w:ascii="Times New Roman" w:hAnsi="Times New Roman"/>
          <w:sz w:val="24"/>
          <w:szCs w:val="24"/>
          <w:lang w:val="sq-AL"/>
        </w:rPr>
        <w:t>imi</w:t>
      </w:r>
      <w:r w:rsidRPr="00EA1CA4">
        <w:rPr>
          <w:rFonts w:ascii="Times New Roman" w:hAnsi="Times New Roman"/>
          <w:sz w:val="24"/>
          <w:szCs w:val="24"/>
          <w:lang w:val="sq-AL"/>
        </w:rPr>
        <w:t>/rishik</w:t>
      </w:r>
      <w:r w:rsidR="00E0015E" w:rsidRPr="00EA1CA4">
        <w:rPr>
          <w:rFonts w:ascii="Times New Roman" w:hAnsi="Times New Roman"/>
          <w:sz w:val="24"/>
          <w:szCs w:val="24"/>
          <w:lang w:val="sq-AL"/>
        </w:rPr>
        <w:t xml:space="preserve">imi </w:t>
      </w:r>
      <w:r w:rsidRPr="00EA1CA4">
        <w:rPr>
          <w:rFonts w:ascii="Times New Roman" w:hAnsi="Times New Roman"/>
          <w:sz w:val="24"/>
          <w:szCs w:val="24"/>
          <w:lang w:val="sq-AL"/>
        </w:rPr>
        <w:t>dhe mirat</w:t>
      </w:r>
      <w:r w:rsidR="00E0015E" w:rsidRPr="00EA1CA4">
        <w:rPr>
          <w:rFonts w:ascii="Times New Roman" w:hAnsi="Times New Roman"/>
          <w:sz w:val="24"/>
          <w:szCs w:val="24"/>
          <w:lang w:val="sq-AL"/>
        </w:rPr>
        <w:t xml:space="preserve">imi i </w:t>
      </w:r>
      <w:r w:rsidRPr="00EA1CA4">
        <w:rPr>
          <w:rFonts w:ascii="Times New Roman" w:hAnsi="Times New Roman"/>
          <w:sz w:val="24"/>
          <w:szCs w:val="24"/>
          <w:lang w:val="sq-AL"/>
        </w:rPr>
        <w:t>një pako</w:t>
      </w:r>
      <w:r w:rsidR="00E0015E" w:rsidRPr="00EA1CA4">
        <w:rPr>
          <w:rFonts w:ascii="Times New Roman" w:hAnsi="Times New Roman"/>
          <w:sz w:val="24"/>
          <w:szCs w:val="24"/>
          <w:lang w:val="sq-AL"/>
        </w:rPr>
        <w:t>je</w:t>
      </w:r>
      <w:r w:rsidRPr="00EA1CA4">
        <w:rPr>
          <w:rFonts w:ascii="Times New Roman" w:hAnsi="Times New Roman"/>
          <w:sz w:val="24"/>
          <w:szCs w:val="24"/>
          <w:lang w:val="sq-AL"/>
        </w:rPr>
        <w:t xml:space="preserve"> standarde </w:t>
      </w:r>
      <w:r w:rsidR="00E0015E" w:rsidRPr="00EA1CA4">
        <w:rPr>
          <w:rFonts w:ascii="Times New Roman" w:hAnsi="Times New Roman"/>
          <w:sz w:val="24"/>
          <w:szCs w:val="24"/>
          <w:lang w:val="sq-AL"/>
        </w:rPr>
        <w:t xml:space="preserve">të </w:t>
      </w:r>
      <w:r w:rsidRPr="00EA1CA4">
        <w:rPr>
          <w:rFonts w:ascii="Times New Roman" w:hAnsi="Times New Roman"/>
          <w:sz w:val="24"/>
          <w:szCs w:val="24"/>
          <w:lang w:val="sq-AL"/>
        </w:rPr>
        <w:t>shërbime</w:t>
      </w:r>
      <w:r w:rsidR="00E0015E" w:rsidRPr="00EA1CA4">
        <w:rPr>
          <w:rFonts w:ascii="Times New Roman" w:hAnsi="Times New Roman"/>
          <w:sz w:val="24"/>
          <w:szCs w:val="24"/>
          <w:lang w:val="sq-AL"/>
        </w:rPr>
        <w:t xml:space="preserve">ve </w:t>
      </w:r>
      <w:r w:rsidRPr="00EA1CA4">
        <w:rPr>
          <w:rFonts w:ascii="Times New Roman" w:hAnsi="Times New Roman"/>
          <w:sz w:val="24"/>
          <w:szCs w:val="24"/>
          <w:lang w:val="sq-AL"/>
        </w:rPr>
        <w:t>që do të ofrohen nga OSHC-të për programet e TB-së</w:t>
      </w:r>
      <w:r w:rsidR="00E0015E" w:rsidRPr="00EA1CA4">
        <w:rPr>
          <w:rFonts w:ascii="Times New Roman" w:hAnsi="Times New Roman"/>
          <w:sz w:val="24"/>
          <w:szCs w:val="24"/>
          <w:lang w:val="sq-AL"/>
        </w:rPr>
        <w:t>,</w:t>
      </w:r>
      <w:r w:rsidRPr="00EA1CA4">
        <w:rPr>
          <w:rFonts w:ascii="Times New Roman" w:hAnsi="Times New Roman"/>
          <w:sz w:val="24"/>
          <w:szCs w:val="24"/>
          <w:lang w:val="sq-AL"/>
        </w:rPr>
        <w:t xml:space="preserve"> dhe përcakt</w:t>
      </w:r>
      <w:r w:rsidR="00E0015E" w:rsidRPr="00EA1CA4">
        <w:rPr>
          <w:rFonts w:ascii="Times New Roman" w:hAnsi="Times New Roman"/>
          <w:sz w:val="24"/>
          <w:szCs w:val="24"/>
          <w:lang w:val="sq-AL"/>
        </w:rPr>
        <w:t xml:space="preserve">imi i </w:t>
      </w:r>
      <w:r w:rsidRPr="00EA1CA4">
        <w:rPr>
          <w:rFonts w:ascii="Times New Roman" w:hAnsi="Times New Roman"/>
          <w:sz w:val="24"/>
          <w:szCs w:val="24"/>
          <w:lang w:val="sq-AL"/>
        </w:rPr>
        <w:t>kosto</w:t>
      </w:r>
      <w:r w:rsidR="00E0015E" w:rsidRPr="00EA1CA4">
        <w:rPr>
          <w:rFonts w:ascii="Times New Roman" w:hAnsi="Times New Roman"/>
          <w:sz w:val="24"/>
          <w:szCs w:val="24"/>
          <w:lang w:val="sq-AL"/>
        </w:rPr>
        <w:t>s</w:t>
      </w:r>
      <w:r w:rsidRPr="00EA1CA4">
        <w:rPr>
          <w:rFonts w:ascii="Times New Roman" w:hAnsi="Times New Roman"/>
          <w:sz w:val="24"/>
          <w:szCs w:val="24"/>
          <w:lang w:val="sq-AL"/>
        </w:rPr>
        <w:t xml:space="preserve"> për </w:t>
      </w:r>
      <w:r w:rsidR="00E0015E" w:rsidRPr="00EA1CA4">
        <w:rPr>
          <w:rFonts w:ascii="Times New Roman" w:hAnsi="Times New Roman"/>
          <w:sz w:val="24"/>
          <w:szCs w:val="24"/>
          <w:lang w:val="sq-AL"/>
        </w:rPr>
        <w:t xml:space="preserve">çdo </w:t>
      </w:r>
      <w:r w:rsidRPr="00EA1CA4">
        <w:rPr>
          <w:rFonts w:ascii="Times New Roman" w:hAnsi="Times New Roman"/>
          <w:sz w:val="24"/>
          <w:szCs w:val="24"/>
          <w:lang w:val="sq-AL"/>
        </w:rPr>
        <w:t>pacient/klient</w:t>
      </w:r>
    </w:p>
    <w:p w:rsidR="00D307FC" w:rsidRPr="00EA1CA4" w:rsidRDefault="00D307FC">
      <w:pPr>
        <w:pStyle w:val="ListParagraph"/>
        <w:numPr>
          <w:ilvl w:val="2"/>
          <w:numId w:val="11"/>
        </w:numPr>
        <w:spacing w:before="120" w:after="0" w:line="276" w:lineRule="auto"/>
        <w:jc w:val="both"/>
        <w:rPr>
          <w:rFonts w:ascii="Times New Roman" w:hAnsi="Times New Roman"/>
          <w:color w:val="000000"/>
          <w:sz w:val="24"/>
          <w:szCs w:val="24"/>
          <w:lang w:val="sq-AL"/>
        </w:rPr>
      </w:pPr>
      <w:r w:rsidRPr="00EA1CA4">
        <w:rPr>
          <w:rFonts w:ascii="Times New Roman" w:hAnsi="Times New Roman"/>
          <w:color w:val="000000"/>
          <w:sz w:val="24"/>
          <w:szCs w:val="24"/>
          <w:lang w:val="sq-AL"/>
        </w:rPr>
        <w:t>Avokim</w:t>
      </w:r>
      <w:r w:rsidR="00E0015E" w:rsidRPr="00EA1CA4">
        <w:rPr>
          <w:rFonts w:ascii="Times New Roman" w:hAnsi="Times New Roman"/>
          <w:color w:val="000000"/>
          <w:sz w:val="24"/>
          <w:szCs w:val="24"/>
          <w:lang w:val="sq-AL"/>
        </w:rPr>
        <w:t>i</w:t>
      </w:r>
      <w:r w:rsidRPr="00EA1CA4">
        <w:rPr>
          <w:rFonts w:ascii="Times New Roman" w:hAnsi="Times New Roman"/>
          <w:color w:val="000000"/>
          <w:sz w:val="24"/>
          <w:szCs w:val="24"/>
          <w:lang w:val="sq-AL"/>
        </w:rPr>
        <w:t xml:space="preserve"> i nivelit të lartë për mobilizimin e burimeve shtesë për kontraktimin e OSHC-ve për shërbimet e TB</w:t>
      </w:r>
      <w:r w:rsidR="00E0015E" w:rsidRPr="00EA1CA4">
        <w:rPr>
          <w:rFonts w:ascii="Times New Roman" w:hAnsi="Times New Roman"/>
          <w:color w:val="000000"/>
          <w:sz w:val="24"/>
          <w:szCs w:val="24"/>
          <w:lang w:val="sq-AL"/>
        </w:rPr>
        <w:t>-së</w:t>
      </w:r>
    </w:p>
    <w:p w:rsidR="009F07DF" w:rsidRPr="00EA1CA4" w:rsidRDefault="00D307FC">
      <w:pPr>
        <w:pStyle w:val="ListParagraph"/>
        <w:numPr>
          <w:ilvl w:val="2"/>
          <w:numId w:val="11"/>
        </w:numPr>
        <w:spacing w:before="120" w:after="0" w:line="276" w:lineRule="auto"/>
        <w:jc w:val="both"/>
        <w:rPr>
          <w:rFonts w:ascii="Times New Roman" w:hAnsi="Times New Roman"/>
          <w:color w:val="000000"/>
          <w:sz w:val="24"/>
          <w:szCs w:val="24"/>
          <w:lang w:val="sq-AL"/>
        </w:rPr>
      </w:pPr>
      <w:r w:rsidRPr="00EA1CA4">
        <w:rPr>
          <w:rFonts w:ascii="Times New Roman" w:hAnsi="Times New Roman"/>
          <w:color w:val="000000"/>
          <w:sz w:val="24"/>
          <w:szCs w:val="24"/>
          <w:lang w:val="sq-AL"/>
        </w:rPr>
        <w:t>Ndërtimi i kapaciteteve të OS</w:t>
      </w:r>
      <w:r w:rsidR="00E0015E" w:rsidRPr="00EA1CA4">
        <w:rPr>
          <w:rFonts w:ascii="Times New Roman" w:hAnsi="Times New Roman"/>
          <w:color w:val="000000"/>
          <w:sz w:val="24"/>
          <w:szCs w:val="24"/>
          <w:lang w:val="sq-AL"/>
        </w:rPr>
        <w:t>H</w:t>
      </w:r>
      <w:r w:rsidRPr="00EA1CA4">
        <w:rPr>
          <w:rFonts w:ascii="Times New Roman" w:hAnsi="Times New Roman"/>
          <w:color w:val="000000"/>
          <w:sz w:val="24"/>
          <w:szCs w:val="24"/>
          <w:lang w:val="sq-AL"/>
        </w:rPr>
        <w:t>C</w:t>
      </w:r>
      <w:r w:rsidR="00E0015E" w:rsidRPr="00EA1CA4">
        <w:rPr>
          <w:rFonts w:ascii="Times New Roman" w:hAnsi="Times New Roman"/>
          <w:color w:val="000000"/>
          <w:sz w:val="24"/>
          <w:szCs w:val="24"/>
          <w:lang w:val="sq-AL"/>
        </w:rPr>
        <w:t>-së</w:t>
      </w:r>
      <w:r w:rsidRPr="00EA1CA4">
        <w:rPr>
          <w:rFonts w:ascii="Times New Roman" w:hAnsi="Times New Roman"/>
          <w:color w:val="000000"/>
          <w:sz w:val="24"/>
          <w:szCs w:val="24"/>
          <w:lang w:val="sq-AL"/>
        </w:rPr>
        <w:t xml:space="preserve"> dhe MSH</w:t>
      </w:r>
      <w:r w:rsidR="00E0015E" w:rsidRPr="00EA1CA4">
        <w:rPr>
          <w:rFonts w:ascii="Times New Roman" w:hAnsi="Times New Roman"/>
          <w:color w:val="000000"/>
          <w:sz w:val="24"/>
          <w:szCs w:val="24"/>
          <w:lang w:val="sq-AL"/>
        </w:rPr>
        <w:t>-së</w:t>
      </w:r>
      <w:r w:rsidRPr="00EA1CA4">
        <w:rPr>
          <w:rFonts w:ascii="Times New Roman" w:hAnsi="Times New Roman"/>
          <w:color w:val="000000"/>
          <w:sz w:val="24"/>
          <w:szCs w:val="24"/>
          <w:lang w:val="sq-AL"/>
        </w:rPr>
        <w:t xml:space="preserve"> në procedurat e kontraktimit të OSHC-ve</w:t>
      </w:r>
      <w:r w:rsidR="009F07DF" w:rsidRPr="00EA1CA4">
        <w:rPr>
          <w:rFonts w:ascii="Times New Roman" w:hAnsi="Times New Roman"/>
          <w:color w:val="000000"/>
          <w:sz w:val="24"/>
          <w:szCs w:val="24"/>
          <w:lang w:val="sq-AL"/>
        </w:rPr>
        <w:t xml:space="preserve">. </w:t>
      </w:r>
    </w:p>
    <w:p w:rsidR="009F07DF" w:rsidRPr="00EA1CA4" w:rsidRDefault="009F07DF" w:rsidP="00624E04">
      <w:pPr>
        <w:spacing w:line="276" w:lineRule="auto"/>
        <w:jc w:val="both"/>
        <w:rPr>
          <w:b/>
        </w:rPr>
      </w:pPr>
    </w:p>
    <w:p w:rsidR="001C2976" w:rsidRPr="00EA1CA4" w:rsidRDefault="00D307FC" w:rsidP="00624E04">
      <w:pPr>
        <w:spacing w:line="276" w:lineRule="auto"/>
        <w:jc w:val="both"/>
        <w:rPr>
          <w:b/>
        </w:rPr>
      </w:pPr>
      <w:r w:rsidRPr="00EA1CA4">
        <w:rPr>
          <w:b/>
        </w:rPr>
        <w:t xml:space="preserve">Rezultati 3.2 Sigurimi i furnizimit të vazhdueshëm </w:t>
      </w:r>
      <w:r w:rsidR="00E0015E" w:rsidRPr="00EA1CA4">
        <w:rPr>
          <w:b/>
        </w:rPr>
        <w:t xml:space="preserve">me </w:t>
      </w:r>
      <w:r w:rsidRPr="00EA1CA4">
        <w:rPr>
          <w:b/>
        </w:rPr>
        <w:t>barna dhe produkte shëndetësore cilësore dhe të përballueshme përmes forcimit të sistemit MZFP</w:t>
      </w:r>
    </w:p>
    <w:p w:rsidR="00D307FC" w:rsidRPr="00EA1CA4" w:rsidRDefault="00D307FC" w:rsidP="00624E04">
      <w:pPr>
        <w:spacing w:line="276" w:lineRule="auto"/>
        <w:jc w:val="both"/>
        <w:rPr>
          <w:b/>
          <w:i/>
        </w:rPr>
      </w:pPr>
    </w:p>
    <w:p w:rsidR="00C029DB" w:rsidRPr="00EA1CA4" w:rsidRDefault="00D307FC" w:rsidP="00624E04">
      <w:pPr>
        <w:spacing w:line="276" w:lineRule="auto"/>
        <w:jc w:val="both"/>
        <w:rPr>
          <w:b/>
          <w:i/>
        </w:rPr>
      </w:pPr>
      <w:r w:rsidRPr="00EA1CA4">
        <w:rPr>
          <w:b/>
          <w:i/>
        </w:rPr>
        <w:t>Aktivitetet e planifikuara</w:t>
      </w:r>
      <w:r w:rsidR="00C029DB" w:rsidRPr="00EA1CA4">
        <w:rPr>
          <w:b/>
          <w:i/>
        </w:rPr>
        <w:t xml:space="preserve">: </w:t>
      </w:r>
    </w:p>
    <w:p w:rsidR="00D307FC" w:rsidRPr="00EA1CA4" w:rsidRDefault="00D307FC">
      <w:pPr>
        <w:pStyle w:val="ListParagraph"/>
        <w:numPr>
          <w:ilvl w:val="2"/>
          <w:numId w:val="12"/>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Mobilizimi i asistencës teknike për rishikimin e procedurave të prokurimit të MSH për të </w:t>
      </w:r>
      <w:r w:rsidRPr="00EA1CA4">
        <w:rPr>
          <w:rFonts w:ascii="Times New Roman" w:hAnsi="Times New Roman"/>
          <w:sz w:val="24"/>
          <w:szCs w:val="24"/>
          <w:lang w:val="sq-AL"/>
        </w:rPr>
        <w:lastRenderedPageBreak/>
        <w:t>mundësuar prokurimin direkt nga platformat ndërkombëtare të prokurimit</w:t>
      </w:r>
    </w:p>
    <w:p w:rsidR="00C029DB" w:rsidRPr="00EA1CA4" w:rsidRDefault="00D307FC">
      <w:pPr>
        <w:pStyle w:val="ListParagraph"/>
        <w:numPr>
          <w:ilvl w:val="2"/>
          <w:numId w:val="12"/>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Mbështetja e praktikave efektive të ruajtjes, monitorimit dhe shpërndarjes për barnat dhe produktet shëndetësore kundër </w:t>
      </w:r>
      <w:r w:rsidR="00E0015E" w:rsidRPr="00EA1CA4">
        <w:rPr>
          <w:rFonts w:ascii="Times New Roman" w:hAnsi="Times New Roman"/>
          <w:sz w:val="24"/>
          <w:szCs w:val="24"/>
          <w:lang w:val="sq-AL"/>
        </w:rPr>
        <w:t>TB-së</w:t>
      </w:r>
    </w:p>
    <w:p w:rsidR="007D2655" w:rsidRPr="00EA1CA4" w:rsidRDefault="00D307FC">
      <w:pPr>
        <w:pStyle w:val="ListParagraph"/>
        <w:numPr>
          <w:ilvl w:val="2"/>
          <w:numId w:val="12"/>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Ndërtimi i kapaciteteve rreth menaxhimit të stokut, parashikimit dhe prokurimit të barnave dhe materialeve </w:t>
      </w:r>
      <w:r w:rsidR="00E0015E" w:rsidRPr="00EA1CA4">
        <w:rPr>
          <w:rFonts w:ascii="Times New Roman" w:hAnsi="Times New Roman"/>
          <w:sz w:val="24"/>
          <w:szCs w:val="24"/>
          <w:lang w:val="sq-AL"/>
        </w:rPr>
        <w:t xml:space="preserve">shpenzuese </w:t>
      </w:r>
      <w:r w:rsidRPr="00EA1CA4">
        <w:rPr>
          <w:rFonts w:ascii="Times New Roman" w:hAnsi="Times New Roman"/>
          <w:sz w:val="24"/>
          <w:szCs w:val="24"/>
          <w:lang w:val="sq-AL"/>
        </w:rPr>
        <w:t>laboratorike për TB</w:t>
      </w:r>
      <w:r w:rsidR="00CE6D7F" w:rsidRPr="00EA1CA4">
        <w:rPr>
          <w:rFonts w:ascii="Times New Roman" w:eastAsiaTheme="majorEastAsia" w:hAnsi="Times New Roman"/>
          <w:sz w:val="24"/>
          <w:szCs w:val="24"/>
          <w:lang w:val="sq-AL"/>
        </w:rPr>
        <w:t>.</w:t>
      </w:r>
    </w:p>
    <w:p w:rsidR="00CE6D7F" w:rsidRPr="00EA1CA4" w:rsidRDefault="00D307FC" w:rsidP="00624E04">
      <w:pPr>
        <w:spacing w:line="276" w:lineRule="auto"/>
        <w:jc w:val="both"/>
        <w:rPr>
          <w:b/>
        </w:rPr>
      </w:pPr>
      <w:r w:rsidRPr="00EA1CA4">
        <w:rPr>
          <w:b/>
        </w:rPr>
        <w:t>Rezultati 3.3 Sigurimi i kapaciteteve adekuate, të mjaftueshme dhe të vazhdueshme të burimeve njerëzore për programet e TB</w:t>
      </w:r>
    </w:p>
    <w:p w:rsidR="00376FAA" w:rsidRPr="00EA1CA4" w:rsidRDefault="00376FAA" w:rsidP="00624E04">
      <w:pPr>
        <w:spacing w:line="276" w:lineRule="auto"/>
        <w:jc w:val="both"/>
        <w:rPr>
          <w:b/>
        </w:rPr>
      </w:pPr>
    </w:p>
    <w:p w:rsidR="00CE6D7F" w:rsidRPr="00EA1CA4" w:rsidRDefault="00D307FC" w:rsidP="00624E04">
      <w:pPr>
        <w:spacing w:line="276" w:lineRule="auto"/>
        <w:jc w:val="both"/>
        <w:rPr>
          <w:b/>
          <w:i/>
        </w:rPr>
      </w:pPr>
      <w:r w:rsidRPr="00EA1CA4">
        <w:rPr>
          <w:b/>
          <w:i/>
        </w:rPr>
        <w:t>Aktivitetet e planifikuara</w:t>
      </w:r>
      <w:r w:rsidR="00CE6D7F" w:rsidRPr="00EA1CA4">
        <w:rPr>
          <w:b/>
          <w:i/>
        </w:rPr>
        <w:t>:</w:t>
      </w:r>
    </w:p>
    <w:p w:rsidR="00D307FC" w:rsidRPr="00EA1CA4" w:rsidRDefault="00D307FC">
      <w:pPr>
        <w:pStyle w:val="ListParagraph"/>
        <w:numPr>
          <w:ilvl w:val="2"/>
          <w:numId w:val="13"/>
        </w:numPr>
        <w:spacing w:before="120" w:after="0" w:line="276" w:lineRule="auto"/>
        <w:jc w:val="both"/>
        <w:rPr>
          <w:rFonts w:ascii="Times New Roman" w:hAnsi="Times New Roman"/>
          <w:sz w:val="24"/>
          <w:szCs w:val="24"/>
          <w:lang w:val="sq-AL"/>
        </w:rPr>
      </w:pPr>
      <w:r w:rsidRPr="00EA1CA4">
        <w:rPr>
          <w:rFonts w:ascii="Times New Roman" w:hAnsi="Times New Roman"/>
          <w:sz w:val="24"/>
          <w:szCs w:val="24"/>
          <w:lang w:val="sq-AL"/>
        </w:rPr>
        <w:t>Vlerësimi i burimeve njerëzore në shëndetësi për nevojat e zhvillimit / trajnimit të Programit të TB (mjekësor, jo</w:t>
      </w:r>
      <w:r w:rsidR="005245E7" w:rsidRPr="00EA1CA4">
        <w:rPr>
          <w:rFonts w:ascii="Times New Roman" w:hAnsi="Times New Roman"/>
          <w:sz w:val="24"/>
          <w:szCs w:val="24"/>
          <w:lang w:val="sq-AL"/>
        </w:rPr>
        <w:t>-</w:t>
      </w:r>
      <w:r w:rsidRPr="00EA1CA4">
        <w:rPr>
          <w:rFonts w:ascii="Times New Roman" w:hAnsi="Times New Roman"/>
          <w:sz w:val="24"/>
          <w:szCs w:val="24"/>
          <w:lang w:val="sq-AL"/>
        </w:rPr>
        <w:t>mjekësor, stafi i O</w:t>
      </w:r>
      <w:r w:rsidR="005245E7" w:rsidRPr="00EA1CA4">
        <w:rPr>
          <w:rFonts w:ascii="Times New Roman" w:hAnsi="Times New Roman"/>
          <w:sz w:val="24"/>
          <w:szCs w:val="24"/>
          <w:lang w:val="sq-AL"/>
        </w:rPr>
        <w:t>SHC</w:t>
      </w:r>
      <w:r w:rsidRPr="00EA1CA4">
        <w:rPr>
          <w:rFonts w:ascii="Times New Roman" w:hAnsi="Times New Roman"/>
          <w:sz w:val="24"/>
          <w:szCs w:val="24"/>
          <w:lang w:val="sq-AL"/>
        </w:rPr>
        <w:t>-së).</w:t>
      </w:r>
    </w:p>
    <w:p w:rsidR="00D307FC" w:rsidRPr="00EA1CA4" w:rsidRDefault="005245E7">
      <w:pPr>
        <w:pStyle w:val="ListParagraph"/>
        <w:numPr>
          <w:ilvl w:val="2"/>
          <w:numId w:val="13"/>
        </w:numPr>
        <w:spacing w:before="120" w:after="0" w:line="276" w:lineRule="auto"/>
        <w:jc w:val="both"/>
        <w:rPr>
          <w:rFonts w:ascii="Times New Roman" w:hAnsi="Times New Roman"/>
          <w:sz w:val="24"/>
          <w:szCs w:val="24"/>
          <w:lang w:val="sq-AL"/>
        </w:rPr>
      </w:pPr>
      <w:r w:rsidRPr="00EA1CA4">
        <w:rPr>
          <w:rFonts w:ascii="Times New Roman" w:hAnsi="Times New Roman"/>
          <w:color w:val="000000"/>
          <w:sz w:val="24"/>
          <w:szCs w:val="24"/>
          <w:lang w:val="sq-AL"/>
        </w:rPr>
        <w:t xml:space="preserve">Hartimi i </w:t>
      </w:r>
      <w:r w:rsidR="00D307FC" w:rsidRPr="00EA1CA4">
        <w:rPr>
          <w:rFonts w:ascii="Times New Roman" w:hAnsi="Times New Roman"/>
          <w:color w:val="000000"/>
          <w:sz w:val="24"/>
          <w:szCs w:val="24"/>
          <w:lang w:val="sq-AL"/>
        </w:rPr>
        <w:t>planit të zhvillimit të burimeve njerëzore të Programit të TB (mjekësore, jo</w:t>
      </w:r>
      <w:r w:rsidRPr="00EA1CA4">
        <w:rPr>
          <w:rFonts w:ascii="Times New Roman" w:hAnsi="Times New Roman"/>
          <w:color w:val="000000"/>
          <w:sz w:val="24"/>
          <w:szCs w:val="24"/>
          <w:lang w:val="sq-AL"/>
        </w:rPr>
        <w:t>-</w:t>
      </w:r>
      <w:r w:rsidR="00D307FC" w:rsidRPr="00EA1CA4">
        <w:rPr>
          <w:rFonts w:ascii="Times New Roman" w:hAnsi="Times New Roman"/>
          <w:color w:val="000000"/>
          <w:sz w:val="24"/>
          <w:szCs w:val="24"/>
          <w:lang w:val="sq-AL"/>
        </w:rPr>
        <w:t>mjekësore dhe O</w:t>
      </w:r>
      <w:r w:rsidRPr="00EA1CA4">
        <w:rPr>
          <w:rFonts w:ascii="Times New Roman" w:hAnsi="Times New Roman"/>
          <w:color w:val="000000"/>
          <w:sz w:val="24"/>
          <w:szCs w:val="24"/>
          <w:lang w:val="sq-AL"/>
        </w:rPr>
        <w:t>SHC</w:t>
      </w:r>
      <w:r w:rsidR="00D307FC" w:rsidRPr="00EA1CA4">
        <w:rPr>
          <w:rFonts w:ascii="Times New Roman" w:hAnsi="Times New Roman"/>
          <w:color w:val="000000"/>
          <w:sz w:val="24"/>
          <w:szCs w:val="24"/>
          <w:lang w:val="sq-AL"/>
        </w:rPr>
        <w:t xml:space="preserve">) bazuar në vlerësimin e </w:t>
      </w:r>
      <w:r w:rsidR="0044528D" w:rsidRPr="00EA1CA4">
        <w:rPr>
          <w:rFonts w:ascii="Times New Roman" w:hAnsi="Times New Roman"/>
          <w:color w:val="000000"/>
          <w:sz w:val="24"/>
          <w:szCs w:val="24"/>
          <w:lang w:val="sq-AL"/>
        </w:rPr>
        <w:t>BNJSH</w:t>
      </w:r>
    </w:p>
    <w:p w:rsidR="00CE6D7F" w:rsidRPr="00EA1CA4" w:rsidRDefault="00E854EB">
      <w:pPr>
        <w:pStyle w:val="ListParagraph"/>
        <w:numPr>
          <w:ilvl w:val="2"/>
          <w:numId w:val="13"/>
        </w:numPr>
        <w:spacing w:before="120" w:after="0" w:line="276" w:lineRule="auto"/>
        <w:jc w:val="both"/>
        <w:rPr>
          <w:rFonts w:ascii="Times New Roman" w:hAnsi="Times New Roman"/>
          <w:sz w:val="24"/>
          <w:szCs w:val="24"/>
          <w:lang w:val="sq-AL"/>
        </w:rPr>
      </w:pPr>
      <w:r w:rsidRPr="00EA1CA4">
        <w:rPr>
          <w:rFonts w:ascii="Times New Roman" w:hAnsi="Times New Roman"/>
          <w:color w:val="000000"/>
          <w:sz w:val="24"/>
          <w:szCs w:val="24"/>
          <w:lang w:val="sq-AL"/>
        </w:rPr>
        <w:t xml:space="preserve">Zbatimi i planit të zhvillimit të </w:t>
      </w:r>
      <w:r w:rsidR="0044528D" w:rsidRPr="00EA1CA4">
        <w:rPr>
          <w:rFonts w:ascii="Times New Roman" w:hAnsi="Times New Roman"/>
          <w:color w:val="000000"/>
          <w:sz w:val="24"/>
          <w:szCs w:val="24"/>
          <w:lang w:val="sq-AL"/>
        </w:rPr>
        <w:t>BNJSH</w:t>
      </w:r>
      <w:r w:rsidR="005245E7" w:rsidRPr="00EA1CA4">
        <w:rPr>
          <w:rFonts w:ascii="Times New Roman" w:hAnsi="Times New Roman"/>
          <w:color w:val="000000"/>
          <w:sz w:val="24"/>
          <w:szCs w:val="24"/>
          <w:lang w:val="sq-AL"/>
        </w:rPr>
        <w:t xml:space="preserve">-TB </w:t>
      </w:r>
      <w:r w:rsidRPr="00EA1CA4">
        <w:rPr>
          <w:rFonts w:ascii="Times New Roman" w:hAnsi="Times New Roman"/>
          <w:color w:val="000000"/>
          <w:sz w:val="24"/>
          <w:szCs w:val="24"/>
          <w:lang w:val="sq-AL"/>
        </w:rPr>
        <w:t>(mjekësor, jo</w:t>
      </w:r>
      <w:r w:rsidR="005245E7" w:rsidRPr="00EA1CA4">
        <w:rPr>
          <w:rFonts w:ascii="Times New Roman" w:hAnsi="Times New Roman"/>
          <w:color w:val="000000"/>
          <w:sz w:val="24"/>
          <w:szCs w:val="24"/>
          <w:lang w:val="sq-AL"/>
        </w:rPr>
        <w:t>-</w:t>
      </w:r>
      <w:r w:rsidRPr="00EA1CA4">
        <w:rPr>
          <w:rFonts w:ascii="Times New Roman" w:hAnsi="Times New Roman"/>
          <w:color w:val="000000"/>
          <w:sz w:val="24"/>
          <w:szCs w:val="24"/>
          <w:lang w:val="sq-AL"/>
        </w:rPr>
        <w:t>mjekësor dhe O</w:t>
      </w:r>
      <w:r w:rsidR="005245E7" w:rsidRPr="00EA1CA4">
        <w:rPr>
          <w:rFonts w:ascii="Times New Roman" w:hAnsi="Times New Roman"/>
          <w:color w:val="000000"/>
          <w:sz w:val="24"/>
          <w:szCs w:val="24"/>
          <w:lang w:val="sq-AL"/>
        </w:rPr>
        <w:t>SHC</w:t>
      </w:r>
      <w:r w:rsidRPr="00EA1CA4">
        <w:rPr>
          <w:rFonts w:ascii="Times New Roman" w:hAnsi="Times New Roman"/>
          <w:color w:val="000000"/>
          <w:sz w:val="24"/>
          <w:szCs w:val="24"/>
          <w:lang w:val="sq-AL"/>
        </w:rPr>
        <w:t>) përmes mobilizimit të burimeve</w:t>
      </w:r>
      <w:r w:rsidR="003D4F21" w:rsidRPr="00EA1CA4">
        <w:rPr>
          <w:rFonts w:ascii="Times New Roman" w:hAnsi="Times New Roman"/>
          <w:color w:val="000000"/>
          <w:sz w:val="24"/>
          <w:szCs w:val="24"/>
          <w:lang w:val="sq-AL"/>
        </w:rPr>
        <w:t>;</w:t>
      </w:r>
    </w:p>
    <w:p w:rsidR="00E854EB" w:rsidRPr="00EA1CA4" w:rsidRDefault="00E854EB">
      <w:pPr>
        <w:pStyle w:val="ListParagraph"/>
        <w:numPr>
          <w:ilvl w:val="2"/>
          <w:numId w:val="13"/>
        </w:numPr>
        <w:spacing w:before="120" w:after="0" w:line="276" w:lineRule="auto"/>
        <w:jc w:val="both"/>
        <w:rPr>
          <w:rFonts w:ascii="Times New Roman" w:hAnsi="Times New Roman"/>
          <w:sz w:val="24"/>
          <w:szCs w:val="24"/>
          <w:lang w:val="sq-AL"/>
        </w:rPr>
      </w:pPr>
      <w:r w:rsidRPr="00EA1CA4">
        <w:rPr>
          <w:rFonts w:ascii="Times New Roman" w:hAnsi="Times New Roman"/>
          <w:color w:val="000000"/>
          <w:sz w:val="24"/>
          <w:szCs w:val="24"/>
          <w:lang w:val="sq-AL"/>
        </w:rPr>
        <w:t xml:space="preserve">Zhvillimi i </w:t>
      </w:r>
      <w:r w:rsidR="005245E7" w:rsidRPr="00EA1CA4">
        <w:rPr>
          <w:rFonts w:ascii="Times New Roman" w:hAnsi="Times New Roman"/>
          <w:color w:val="000000"/>
          <w:sz w:val="24"/>
          <w:szCs w:val="24"/>
          <w:lang w:val="sq-AL"/>
        </w:rPr>
        <w:t xml:space="preserve">mekanizmit të </w:t>
      </w:r>
      <w:r w:rsidRPr="00EA1CA4">
        <w:rPr>
          <w:rFonts w:ascii="Times New Roman" w:hAnsi="Times New Roman"/>
          <w:color w:val="000000"/>
          <w:sz w:val="24"/>
          <w:szCs w:val="24"/>
          <w:lang w:val="sq-AL"/>
        </w:rPr>
        <w:t>financimit për trajnimin e personelit mjekësor, jo</w:t>
      </w:r>
      <w:r w:rsidR="005245E7" w:rsidRPr="00EA1CA4">
        <w:rPr>
          <w:rFonts w:ascii="Times New Roman" w:hAnsi="Times New Roman"/>
          <w:color w:val="000000"/>
          <w:sz w:val="24"/>
          <w:szCs w:val="24"/>
          <w:lang w:val="sq-AL"/>
        </w:rPr>
        <w:t>-</w:t>
      </w:r>
      <w:r w:rsidRPr="00EA1CA4">
        <w:rPr>
          <w:rFonts w:ascii="Times New Roman" w:hAnsi="Times New Roman"/>
          <w:color w:val="000000"/>
          <w:sz w:val="24"/>
          <w:szCs w:val="24"/>
          <w:lang w:val="sq-AL"/>
        </w:rPr>
        <w:t>mjekësor, duke përfshirë përfaqësues</w:t>
      </w:r>
      <w:r w:rsidR="005245E7" w:rsidRPr="00EA1CA4">
        <w:rPr>
          <w:rFonts w:ascii="Times New Roman" w:hAnsi="Times New Roman"/>
          <w:color w:val="000000"/>
          <w:sz w:val="24"/>
          <w:szCs w:val="24"/>
          <w:lang w:val="sq-AL"/>
        </w:rPr>
        <w:t>it e</w:t>
      </w:r>
      <w:r w:rsidRPr="00EA1CA4">
        <w:rPr>
          <w:rFonts w:ascii="Times New Roman" w:hAnsi="Times New Roman"/>
          <w:color w:val="000000"/>
          <w:sz w:val="24"/>
          <w:szCs w:val="24"/>
          <w:lang w:val="sq-AL"/>
        </w:rPr>
        <w:t xml:space="preserve"> O</w:t>
      </w:r>
      <w:r w:rsidR="005245E7" w:rsidRPr="00EA1CA4">
        <w:rPr>
          <w:rFonts w:ascii="Times New Roman" w:hAnsi="Times New Roman"/>
          <w:color w:val="000000"/>
          <w:sz w:val="24"/>
          <w:szCs w:val="24"/>
          <w:lang w:val="sq-AL"/>
        </w:rPr>
        <w:t>SHC</w:t>
      </w:r>
      <w:r w:rsidRPr="00EA1CA4">
        <w:rPr>
          <w:rFonts w:ascii="Times New Roman" w:hAnsi="Times New Roman"/>
          <w:color w:val="000000"/>
          <w:sz w:val="24"/>
          <w:szCs w:val="24"/>
          <w:lang w:val="sq-AL"/>
        </w:rPr>
        <w:t>-ve dhe punonjësve socialë</w:t>
      </w:r>
    </w:p>
    <w:p w:rsidR="00CE6D7F" w:rsidRPr="00EA1CA4" w:rsidRDefault="005245E7">
      <w:pPr>
        <w:pStyle w:val="ListParagraph"/>
        <w:numPr>
          <w:ilvl w:val="2"/>
          <w:numId w:val="13"/>
        </w:numPr>
        <w:spacing w:before="120" w:after="0" w:line="276" w:lineRule="auto"/>
        <w:jc w:val="both"/>
        <w:rPr>
          <w:rFonts w:ascii="Times New Roman" w:hAnsi="Times New Roman"/>
          <w:sz w:val="24"/>
          <w:szCs w:val="24"/>
          <w:lang w:val="sq-AL"/>
        </w:rPr>
      </w:pPr>
      <w:r w:rsidRPr="00EA1CA4">
        <w:rPr>
          <w:rFonts w:ascii="Times New Roman" w:hAnsi="Times New Roman"/>
          <w:sz w:val="24"/>
          <w:szCs w:val="24"/>
          <w:lang w:val="sq-AL"/>
        </w:rPr>
        <w:t>Zhvillimi dhe zbatimi i një plani, s</w:t>
      </w:r>
      <w:r w:rsidR="00E854EB" w:rsidRPr="00EA1CA4">
        <w:rPr>
          <w:rFonts w:ascii="Times New Roman" w:hAnsi="Times New Roman"/>
          <w:sz w:val="24"/>
          <w:szCs w:val="24"/>
          <w:lang w:val="sq-AL"/>
        </w:rPr>
        <w:t>ë bashku me MSH-në, Odat Mjekësore dhe Fakultetin e Mjekësisë</w:t>
      </w:r>
      <w:r w:rsidRPr="00EA1CA4">
        <w:rPr>
          <w:rFonts w:ascii="Times New Roman" w:hAnsi="Times New Roman"/>
          <w:sz w:val="24"/>
          <w:szCs w:val="24"/>
          <w:lang w:val="sq-AL"/>
        </w:rPr>
        <w:t>,</w:t>
      </w:r>
      <w:r w:rsidR="00E854EB" w:rsidRPr="00EA1CA4">
        <w:rPr>
          <w:rFonts w:ascii="Times New Roman" w:hAnsi="Times New Roman"/>
          <w:sz w:val="24"/>
          <w:szCs w:val="24"/>
          <w:lang w:val="sq-AL"/>
        </w:rPr>
        <w:t xml:space="preserve"> për rishik</w:t>
      </w:r>
      <w:r w:rsidRPr="00EA1CA4">
        <w:rPr>
          <w:rFonts w:ascii="Times New Roman" w:hAnsi="Times New Roman"/>
          <w:sz w:val="24"/>
          <w:szCs w:val="24"/>
          <w:lang w:val="sq-AL"/>
        </w:rPr>
        <w:t>imin e</w:t>
      </w:r>
      <w:r w:rsidR="00E854EB" w:rsidRPr="00EA1CA4">
        <w:rPr>
          <w:rFonts w:ascii="Times New Roman" w:hAnsi="Times New Roman"/>
          <w:sz w:val="24"/>
          <w:szCs w:val="24"/>
          <w:lang w:val="sq-AL"/>
        </w:rPr>
        <w:t xml:space="preserve"> module</w:t>
      </w:r>
      <w:r w:rsidRPr="00EA1CA4">
        <w:rPr>
          <w:rFonts w:ascii="Times New Roman" w:hAnsi="Times New Roman"/>
          <w:sz w:val="24"/>
          <w:szCs w:val="24"/>
          <w:lang w:val="sq-AL"/>
        </w:rPr>
        <w:t xml:space="preserve">ve </w:t>
      </w:r>
      <w:r w:rsidR="00E854EB" w:rsidRPr="00EA1CA4">
        <w:rPr>
          <w:rFonts w:ascii="Times New Roman" w:hAnsi="Times New Roman"/>
          <w:sz w:val="24"/>
          <w:szCs w:val="24"/>
          <w:lang w:val="sq-AL"/>
        </w:rPr>
        <w:t>t</w:t>
      </w:r>
      <w:r w:rsidRPr="00EA1CA4">
        <w:rPr>
          <w:rFonts w:ascii="Times New Roman" w:hAnsi="Times New Roman"/>
          <w:sz w:val="24"/>
          <w:szCs w:val="24"/>
          <w:lang w:val="sq-AL"/>
        </w:rPr>
        <w:t>ë</w:t>
      </w:r>
      <w:r w:rsidR="00E854EB" w:rsidRPr="00EA1CA4">
        <w:rPr>
          <w:rFonts w:ascii="Times New Roman" w:hAnsi="Times New Roman"/>
          <w:sz w:val="24"/>
          <w:szCs w:val="24"/>
          <w:lang w:val="sq-AL"/>
        </w:rPr>
        <w:t xml:space="preserve"> trajnimit lidhur me TB-në për nivelin universitar, pasuniversitar (programet </w:t>
      </w:r>
      <w:r w:rsidRPr="00EA1CA4">
        <w:rPr>
          <w:rFonts w:ascii="Times New Roman" w:hAnsi="Times New Roman"/>
          <w:sz w:val="24"/>
          <w:szCs w:val="24"/>
          <w:lang w:val="sq-AL"/>
        </w:rPr>
        <w:t>rezidenciale</w:t>
      </w:r>
      <w:r w:rsidR="00E854EB" w:rsidRPr="00EA1CA4">
        <w:rPr>
          <w:rFonts w:ascii="Times New Roman" w:hAnsi="Times New Roman"/>
          <w:sz w:val="24"/>
          <w:szCs w:val="24"/>
          <w:lang w:val="sq-AL"/>
        </w:rPr>
        <w:t xml:space="preserve">) dhe </w:t>
      </w:r>
      <w:r w:rsidRPr="00EA1CA4">
        <w:rPr>
          <w:rFonts w:ascii="Times New Roman" w:hAnsi="Times New Roman"/>
          <w:sz w:val="24"/>
          <w:szCs w:val="24"/>
          <w:lang w:val="sq-AL"/>
        </w:rPr>
        <w:t xml:space="preserve">për </w:t>
      </w:r>
      <w:r w:rsidR="00E854EB" w:rsidRPr="00EA1CA4">
        <w:rPr>
          <w:rFonts w:ascii="Times New Roman" w:hAnsi="Times New Roman"/>
          <w:sz w:val="24"/>
          <w:szCs w:val="24"/>
          <w:lang w:val="sq-AL"/>
        </w:rPr>
        <w:t xml:space="preserve">nivelin </w:t>
      </w:r>
      <w:r w:rsidRPr="00EA1CA4">
        <w:rPr>
          <w:rFonts w:ascii="Times New Roman" w:hAnsi="Times New Roman"/>
          <w:sz w:val="24"/>
          <w:szCs w:val="24"/>
          <w:lang w:val="sq-AL"/>
        </w:rPr>
        <w:t>AVM</w:t>
      </w:r>
      <w:r w:rsidR="00CE6D7F" w:rsidRPr="00EA1CA4">
        <w:rPr>
          <w:rFonts w:ascii="Times New Roman" w:hAnsi="Times New Roman"/>
          <w:sz w:val="24"/>
          <w:szCs w:val="24"/>
          <w:lang w:val="sq-AL"/>
        </w:rPr>
        <w:t>.</w:t>
      </w:r>
    </w:p>
    <w:p w:rsidR="003D4F21" w:rsidRPr="00EA1CA4" w:rsidRDefault="003D4F21" w:rsidP="00624E04">
      <w:pPr>
        <w:pStyle w:val="ListParagraph"/>
        <w:spacing w:before="120" w:after="0" w:line="276" w:lineRule="auto"/>
        <w:ind w:left="1080"/>
        <w:jc w:val="both"/>
        <w:rPr>
          <w:rFonts w:ascii="Times New Roman" w:hAnsi="Times New Roman"/>
          <w:sz w:val="24"/>
          <w:szCs w:val="24"/>
          <w:lang w:val="sq-AL"/>
        </w:rPr>
      </w:pPr>
    </w:p>
    <w:p w:rsidR="006A633F" w:rsidRPr="00EA1CA4" w:rsidRDefault="00E854EB" w:rsidP="00624E04">
      <w:pPr>
        <w:spacing w:line="276" w:lineRule="auto"/>
        <w:jc w:val="both"/>
        <w:rPr>
          <w:b/>
        </w:rPr>
      </w:pPr>
      <w:r w:rsidRPr="00EA1CA4">
        <w:rPr>
          <w:b/>
        </w:rPr>
        <w:t xml:space="preserve">Rezultati 3.4 </w:t>
      </w:r>
      <w:r w:rsidR="009D382B" w:rsidRPr="00EA1CA4">
        <w:rPr>
          <w:b/>
        </w:rPr>
        <w:t>Fuqizimi</w:t>
      </w:r>
      <w:r w:rsidRPr="00EA1CA4">
        <w:rPr>
          <w:b/>
        </w:rPr>
        <w:t xml:space="preserve"> </w:t>
      </w:r>
      <w:r w:rsidR="009D382B" w:rsidRPr="00EA1CA4">
        <w:rPr>
          <w:b/>
        </w:rPr>
        <w:t>i</w:t>
      </w:r>
      <w:r w:rsidRPr="00EA1CA4">
        <w:rPr>
          <w:b/>
        </w:rPr>
        <w:t xml:space="preserve"> politikë</w:t>
      </w:r>
      <w:r w:rsidR="004503BA" w:rsidRPr="00EA1CA4">
        <w:rPr>
          <w:b/>
        </w:rPr>
        <w:t>-</w:t>
      </w:r>
      <w:r w:rsidRPr="00EA1CA4">
        <w:rPr>
          <w:b/>
        </w:rPr>
        <w:t xml:space="preserve">bërjes dhe llogaridhënies së programit kombëtar </w:t>
      </w:r>
      <w:r w:rsidR="005245E7" w:rsidRPr="00EA1CA4">
        <w:rPr>
          <w:b/>
        </w:rPr>
        <w:t>kundër</w:t>
      </w:r>
      <w:r w:rsidRPr="00EA1CA4">
        <w:rPr>
          <w:b/>
        </w:rPr>
        <w:t xml:space="preserve"> TB-së</w:t>
      </w:r>
      <w:r w:rsidR="004503BA" w:rsidRPr="00EA1CA4">
        <w:rPr>
          <w:b/>
        </w:rPr>
        <w:t xml:space="preserve"> duke u</w:t>
      </w:r>
      <w:r w:rsidRPr="00EA1CA4">
        <w:rPr>
          <w:b/>
        </w:rPr>
        <w:t xml:space="preserve"> bazuar në </w:t>
      </w:r>
      <w:r w:rsidR="004503BA" w:rsidRPr="00EA1CA4">
        <w:rPr>
          <w:b/>
        </w:rPr>
        <w:t xml:space="preserve">informata dhe </w:t>
      </w:r>
      <w:r w:rsidRPr="00EA1CA4">
        <w:rPr>
          <w:b/>
        </w:rPr>
        <w:t>dëshmi</w:t>
      </w:r>
    </w:p>
    <w:p w:rsidR="00376FAA" w:rsidRPr="00EA1CA4" w:rsidRDefault="00376FAA" w:rsidP="00624E04">
      <w:pPr>
        <w:spacing w:line="276" w:lineRule="auto"/>
        <w:jc w:val="both"/>
        <w:rPr>
          <w:b/>
        </w:rPr>
      </w:pPr>
    </w:p>
    <w:p w:rsidR="006A633F" w:rsidRPr="00EA1CA4" w:rsidRDefault="00E854EB" w:rsidP="00624E04">
      <w:pPr>
        <w:spacing w:line="276" w:lineRule="auto"/>
        <w:jc w:val="both"/>
        <w:rPr>
          <w:b/>
          <w:i/>
        </w:rPr>
      </w:pPr>
      <w:r w:rsidRPr="00EA1CA4">
        <w:rPr>
          <w:b/>
          <w:i/>
        </w:rPr>
        <w:t>Aktivitetet e planifikuara</w:t>
      </w:r>
      <w:r w:rsidR="006A633F" w:rsidRPr="00EA1CA4">
        <w:rPr>
          <w:b/>
          <w:i/>
        </w:rPr>
        <w:t xml:space="preserve">: </w:t>
      </w:r>
    </w:p>
    <w:p w:rsidR="00E854EB" w:rsidRPr="00EA1CA4" w:rsidRDefault="005245E7">
      <w:pPr>
        <w:pStyle w:val="ListParagraph"/>
        <w:numPr>
          <w:ilvl w:val="2"/>
          <w:numId w:val="14"/>
        </w:numPr>
        <w:spacing w:before="120" w:after="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Hartimi </w:t>
      </w:r>
      <w:r w:rsidR="00E854EB" w:rsidRPr="00EA1CA4">
        <w:rPr>
          <w:rFonts w:ascii="Times New Roman" w:hAnsi="Times New Roman"/>
          <w:sz w:val="24"/>
          <w:szCs w:val="24"/>
          <w:lang w:val="sq-AL"/>
        </w:rPr>
        <w:t>i një plani gjithëpërfshirës për transferimin e sistemeve të të dhënave në MSH dhe integrimin në S</w:t>
      </w:r>
      <w:r w:rsidRPr="00EA1CA4">
        <w:rPr>
          <w:rFonts w:ascii="Times New Roman" w:hAnsi="Times New Roman"/>
          <w:sz w:val="24"/>
          <w:szCs w:val="24"/>
          <w:lang w:val="sq-AL"/>
        </w:rPr>
        <w:t>I</w:t>
      </w:r>
      <w:r w:rsidR="00E854EB" w:rsidRPr="00EA1CA4">
        <w:rPr>
          <w:rFonts w:ascii="Times New Roman" w:hAnsi="Times New Roman"/>
          <w:sz w:val="24"/>
          <w:szCs w:val="24"/>
          <w:lang w:val="sq-AL"/>
        </w:rPr>
        <w:t>SH Kombëtare</w:t>
      </w:r>
    </w:p>
    <w:p w:rsidR="004503BA" w:rsidRPr="00EA1CA4" w:rsidRDefault="004503BA">
      <w:pPr>
        <w:pStyle w:val="ListParagraph"/>
        <w:numPr>
          <w:ilvl w:val="2"/>
          <w:numId w:val="14"/>
        </w:numPr>
        <w:spacing w:before="120" w:after="0" w:line="276" w:lineRule="auto"/>
        <w:jc w:val="both"/>
        <w:rPr>
          <w:rFonts w:ascii="Times New Roman" w:hAnsi="Times New Roman"/>
          <w:sz w:val="24"/>
          <w:szCs w:val="24"/>
          <w:lang w:val="sq-AL"/>
        </w:rPr>
      </w:pPr>
      <w:r w:rsidRPr="00EA1CA4">
        <w:rPr>
          <w:rFonts w:ascii="Times New Roman" w:hAnsi="Times New Roman"/>
          <w:sz w:val="24"/>
          <w:szCs w:val="24"/>
          <w:lang w:val="sq-AL"/>
        </w:rPr>
        <w:lastRenderedPageBreak/>
        <w:t xml:space="preserve">Krijimi i grupit punues për lehtësimin e </w:t>
      </w:r>
      <w:r w:rsidR="00253DBE" w:rsidRPr="00EA1CA4">
        <w:rPr>
          <w:rFonts w:ascii="Times New Roman" w:hAnsi="Times New Roman"/>
          <w:sz w:val="24"/>
          <w:szCs w:val="24"/>
          <w:lang w:val="sq-AL"/>
        </w:rPr>
        <w:t xml:space="preserve">ndërlidhjes dhe </w:t>
      </w:r>
      <w:r w:rsidRPr="00EA1CA4">
        <w:rPr>
          <w:rFonts w:ascii="Times New Roman" w:hAnsi="Times New Roman"/>
          <w:sz w:val="24"/>
          <w:szCs w:val="24"/>
          <w:lang w:val="sq-AL"/>
        </w:rPr>
        <w:t>integrimit të sistemeve të dhënave të TB dhe HIV në SISH</w:t>
      </w:r>
    </w:p>
    <w:p w:rsidR="00E854EB" w:rsidRPr="00EA1CA4" w:rsidRDefault="00E854EB">
      <w:pPr>
        <w:pStyle w:val="ListParagraph"/>
        <w:numPr>
          <w:ilvl w:val="2"/>
          <w:numId w:val="14"/>
        </w:numPr>
        <w:spacing w:before="120" w:after="0" w:line="276" w:lineRule="auto"/>
        <w:jc w:val="both"/>
        <w:rPr>
          <w:rFonts w:ascii="Times New Roman" w:hAnsi="Times New Roman"/>
          <w:sz w:val="24"/>
          <w:szCs w:val="24"/>
          <w:lang w:val="sq-AL"/>
        </w:rPr>
      </w:pPr>
      <w:r w:rsidRPr="00EA1CA4">
        <w:rPr>
          <w:rFonts w:ascii="Times New Roman" w:hAnsi="Times New Roman"/>
          <w:sz w:val="24"/>
          <w:szCs w:val="24"/>
          <w:lang w:val="sq-AL"/>
        </w:rPr>
        <w:t>Vlerësimi i funksionimit të sistemeve të ndryshme me SISH dhe kërkesat e përpunuara për zhvillimin e një platforme/ndërfaqeje të të dhënave</w:t>
      </w:r>
    </w:p>
    <w:p w:rsidR="00E854EB" w:rsidRPr="00EA1CA4" w:rsidRDefault="00E854EB">
      <w:pPr>
        <w:pStyle w:val="ListParagraph"/>
        <w:numPr>
          <w:ilvl w:val="2"/>
          <w:numId w:val="14"/>
        </w:numPr>
        <w:spacing w:before="120" w:after="0" w:line="276" w:lineRule="auto"/>
        <w:jc w:val="both"/>
        <w:rPr>
          <w:rFonts w:ascii="Times New Roman" w:hAnsi="Times New Roman"/>
          <w:sz w:val="24"/>
          <w:szCs w:val="24"/>
          <w:shd w:val="clear" w:color="auto" w:fill="FFFFFF"/>
          <w:lang w:val="sq-AL"/>
        </w:rPr>
      </w:pPr>
      <w:r w:rsidRPr="00EA1CA4">
        <w:rPr>
          <w:rFonts w:ascii="Times New Roman" w:hAnsi="Times New Roman"/>
          <w:sz w:val="24"/>
          <w:szCs w:val="24"/>
          <w:lang w:val="sq-AL"/>
        </w:rPr>
        <w:t>Dizajn</w:t>
      </w:r>
      <w:r w:rsidR="002B792A" w:rsidRPr="00EA1CA4">
        <w:rPr>
          <w:rFonts w:ascii="Times New Roman" w:hAnsi="Times New Roman"/>
          <w:sz w:val="24"/>
          <w:szCs w:val="24"/>
          <w:lang w:val="sq-AL"/>
        </w:rPr>
        <w:t>imi i</w:t>
      </w:r>
      <w:r w:rsidRPr="00EA1CA4">
        <w:rPr>
          <w:rFonts w:ascii="Times New Roman" w:hAnsi="Times New Roman"/>
          <w:sz w:val="24"/>
          <w:szCs w:val="24"/>
          <w:lang w:val="sq-AL"/>
        </w:rPr>
        <w:t xml:space="preserve"> moduli</w:t>
      </w:r>
      <w:r w:rsidR="002B792A" w:rsidRPr="00EA1CA4">
        <w:rPr>
          <w:rFonts w:ascii="Times New Roman" w:hAnsi="Times New Roman"/>
          <w:sz w:val="24"/>
          <w:szCs w:val="24"/>
          <w:lang w:val="sq-AL"/>
        </w:rPr>
        <w:t>t</w:t>
      </w:r>
      <w:r w:rsidRPr="00EA1CA4">
        <w:rPr>
          <w:rFonts w:ascii="Times New Roman" w:hAnsi="Times New Roman"/>
          <w:sz w:val="24"/>
          <w:szCs w:val="24"/>
          <w:lang w:val="sq-AL"/>
        </w:rPr>
        <w:t xml:space="preserve"> </w:t>
      </w:r>
      <w:r w:rsidR="002B792A" w:rsidRPr="00EA1CA4">
        <w:rPr>
          <w:rFonts w:ascii="Times New Roman" w:hAnsi="Times New Roman"/>
          <w:sz w:val="24"/>
          <w:szCs w:val="24"/>
          <w:lang w:val="sq-AL"/>
        </w:rPr>
        <w:t>të</w:t>
      </w:r>
      <w:r w:rsidRPr="00EA1CA4">
        <w:rPr>
          <w:rFonts w:ascii="Times New Roman" w:hAnsi="Times New Roman"/>
          <w:sz w:val="24"/>
          <w:szCs w:val="24"/>
          <w:lang w:val="sq-AL"/>
        </w:rPr>
        <w:t xml:space="preserve"> gjurmimit të shpenzimeve të programit </w:t>
      </w:r>
      <w:r w:rsidR="002B792A" w:rsidRPr="00EA1CA4">
        <w:rPr>
          <w:rFonts w:ascii="Times New Roman" w:hAnsi="Times New Roman"/>
          <w:sz w:val="24"/>
          <w:szCs w:val="24"/>
          <w:lang w:val="sq-AL"/>
        </w:rPr>
        <w:t xml:space="preserve">kombëtar kundër </w:t>
      </w:r>
      <w:r w:rsidRPr="00EA1CA4">
        <w:rPr>
          <w:rFonts w:ascii="Times New Roman" w:hAnsi="Times New Roman"/>
          <w:sz w:val="24"/>
          <w:szCs w:val="24"/>
          <w:lang w:val="sq-AL"/>
        </w:rPr>
        <w:t>TB</w:t>
      </w:r>
      <w:r w:rsidR="002B792A" w:rsidRPr="00EA1CA4">
        <w:rPr>
          <w:rFonts w:ascii="Times New Roman" w:hAnsi="Times New Roman"/>
          <w:sz w:val="24"/>
          <w:szCs w:val="24"/>
          <w:lang w:val="sq-AL"/>
        </w:rPr>
        <w:t>-së</w:t>
      </w:r>
      <w:r w:rsidRPr="00EA1CA4">
        <w:rPr>
          <w:rFonts w:ascii="Times New Roman" w:hAnsi="Times New Roman"/>
          <w:sz w:val="24"/>
          <w:szCs w:val="24"/>
          <w:lang w:val="sq-AL"/>
        </w:rPr>
        <w:t xml:space="preserve"> ose nën-llogarinë e llogarive kombëtare shëndetësore, nëse është e zbatueshme</w:t>
      </w:r>
    </w:p>
    <w:p w:rsidR="00E854EB" w:rsidRPr="00EA1CA4" w:rsidRDefault="00586387">
      <w:pPr>
        <w:pStyle w:val="ListParagraph"/>
        <w:numPr>
          <w:ilvl w:val="2"/>
          <w:numId w:val="14"/>
        </w:numPr>
        <w:spacing w:before="120" w:after="0" w:line="276" w:lineRule="auto"/>
        <w:jc w:val="both"/>
        <w:rPr>
          <w:rFonts w:ascii="Times New Roman" w:hAnsi="Times New Roman"/>
          <w:sz w:val="24"/>
          <w:szCs w:val="24"/>
          <w:shd w:val="clear" w:color="auto" w:fill="FFFFFF"/>
          <w:lang w:val="sq-AL"/>
        </w:rPr>
      </w:pPr>
      <w:r w:rsidRPr="00EA1CA4">
        <w:rPr>
          <w:rFonts w:ascii="Times New Roman" w:hAnsi="Times New Roman"/>
          <w:color w:val="000000"/>
          <w:sz w:val="24"/>
          <w:szCs w:val="24"/>
          <w:lang w:val="sq-AL"/>
        </w:rPr>
        <w:t>Përmirësimi i</w:t>
      </w:r>
      <w:r w:rsidR="00E854EB" w:rsidRPr="00EA1CA4">
        <w:rPr>
          <w:rFonts w:ascii="Times New Roman" w:hAnsi="Times New Roman"/>
          <w:color w:val="000000"/>
          <w:sz w:val="24"/>
          <w:szCs w:val="24"/>
          <w:lang w:val="sq-AL"/>
        </w:rPr>
        <w:t xml:space="preserve"> </w:t>
      </w:r>
      <w:r w:rsidRPr="00EA1CA4">
        <w:rPr>
          <w:rFonts w:ascii="Times New Roman" w:hAnsi="Times New Roman"/>
          <w:color w:val="000000"/>
          <w:sz w:val="24"/>
          <w:szCs w:val="24"/>
          <w:lang w:val="sq-AL"/>
        </w:rPr>
        <w:t xml:space="preserve">sistemit të </w:t>
      </w:r>
      <w:r w:rsidR="00E854EB" w:rsidRPr="00EA1CA4">
        <w:rPr>
          <w:rFonts w:ascii="Times New Roman" w:hAnsi="Times New Roman"/>
          <w:color w:val="000000"/>
          <w:sz w:val="24"/>
          <w:szCs w:val="24"/>
          <w:lang w:val="sq-AL"/>
        </w:rPr>
        <w:t>statistikave vitale duke ndërtuar kapacitetet e ASK-së</w:t>
      </w:r>
    </w:p>
    <w:p w:rsidR="006A633F" w:rsidRPr="00EA1CA4" w:rsidRDefault="00E854EB">
      <w:pPr>
        <w:pStyle w:val="ListParagraph"/>
        <w:numPr>
          <w:ilvl w:val="2"/>
          <w:numId w:val="14"/>
        </w:numPr>
        <w:spacing w:before="120" w:after="0" w:line="276" w:lineRule="auto"/>
        <w:jc w:val="both"/>
        <w:rPr>
          <w:rStyle w:val="normaltextrun"/>
          <w:rFonts w:ascii="Times New Roman" w:hAnsi="Times New Roman"/>
          <w:sz w:val="24"/>
          <w:szCs w:val="24"/>
          <w:shd w:val="clear" w:color="auto" w:fill="FFFFFF"/>
          <w:lang w:val="sq-AL"/>
        </w:rPr>
      </w:pPr>
      <w:r w:rsidRPr="00EA1CA4">
        <w:rPr>
          <w:rFonts w:ascii="Times New Roman" w:hAnsi="Times New Roman"/>
          <w:color w:val="000000"/>
          <w:sz w:val="24"/>
          <w:szCs w:val="24"/>
          <w:lang w:val="sq-AL"/>
        </w:rPr>
        <w:t xml:space="preserve">Identifikimi i mekanizmit të financimit dhe sigurimi i financimit të qëndrueshëm </w:t>
      </w:r>
      <w:r w:rsidR="002B792A" w:rsidRPr="00EA1CA4">
        <w:rPr>
          <w:rFonts w:ascii="Times New Roman" w:hAnsi="Times New Roman"/>
          <w:color w:val="000000"/>
          <w:sz w:val="24"/>
          <w:szCs w:val="24"/>
          <w:lang w:val="sq-AL"/>
        </w:rPr>
        <w:t>p</w:t>
      </w:r>
      <w:r w:rsidRPr="00EA1CA4">
        <w:rPr>
          <w:rFonts w:ascii="Times New Roman" w:hAnsi="Times New Roman"/>
          <w:color w:val="000000"/>
          <w:sz w:val="24"/>
          <w:szCs w:val="24"/>
          <w:lang w:val="sq-AL"/>
        </w:rPr>
        <w:t>ë</w:t>
      </w:r>
      <w:r w:rsidR="002B792A" w:rsidRPr="00EA1CA4">
        <w:rPr>
          <w:rFonts w:ascii="Times New Roman" w:hAnsi="Times New Roman"/>
          <w:color w:val="000000"/>
          <w:sz w:val="24"/>
          <w:szCs w:val="24"/>
          <w:lang w:val="sq-AL"/>
        </w:rPr>
        <w:t>r</w:t>
      </w:r>
      <w:r w:rsidRPr="00EA1CA4">
        <w:rPr>
          <w:rFonts w:ascii="Times New Roman" w:hAnsi="Times New Roman"/>
          <w:color w:val="000000"/>
          <w:sz w:val="24"/>
          <w:szCs w:val="24"/>
          <w:lang w:val="sq-AL"/>
        </w:rPr>
        <w:t xml:space="preserve"> aktivitete</w:t>
      </w:r>
      <w:r w:rsidR="002B792A" w:rsidRPr="00EA1CA4">
        <w:rPr>
          <w:rFonts w:ascii="Times New Roman" w:hAnsi="Times New Roman"/>
          <w:color w:val="000000"/>
          <w:sz w:val="24"/>
          <w:szCs w:val="24"/>
          <w:lang w:val="sq-AL"/>
        </w:rPr>
        <w:t>t</w:t>
      </w:r>
      <w:r w:rsidRPr="00EA1CA4">
        <w:rPr>
          <w:rFonts w:ascii="Times New Roman" w:hAnsi="Times New Roman"/>
          <w:color w:val="000000"/>
          <w:sz w:val="24"/>
          <w:szCs w:val="24"/>
          <w:lang w:val="sq-AL"/>
        </w:rPr>
        <w:t xml:space="preserve"> </w:t>
      </w:r>
      <w:r w:rsidR="002B792A" w:rsidRPr="00EA1CA4">
        <w:rPr>
          <w:rFonts w:ascii="Times New Roman" w:hAnsi="Times New Roman"/>
          <w:color w:val="000000"/>
          <w:sz w:val="24"/>
          <w:szCs w:val="24"/>
          <w:lang w:val="sq-AL"/>
        </w:rPr>
        <w:t xml:space="preserve">e </w:t>
      </w:r>
      <w:r w:rsidRPr="00EA1CA4">
        <w:rPr>
          <w:rFonts w:ascii="Times New Roman" w:hAnsi="Times New Roman"/>
          <w:color w:val="000000"/>
          <w:sz w:val="24"/>
          <w:szCs w:val="24"/>
          <w:lang w:val="sq-AL"/>
        </w:rPr>
        <w:t>M</w:t>
      </w:r>
      <w:r w:rsidR="002B792A" w:rsidRPr="00EA1CA4">
        <w:rPr>
          <w:rFonts w:ascii="Times New Roman" w:hAnsi="Times New Roman"/>
          <w:color w:val="000000"/>
          <w:sz w:val="24"/>
          <w:szCs w:val="24"/>
          <w:lang w:val="sq-AL"/>
        </w:rPr>
        <w:t xml:space="preserve"> dhe V</w:t>
      </w:r>
    </w:p>
    <w:p w:rsidR="006A633F" w:rsidRPr="00EA1CA4" w:rsidRDefault="00E854EB">
      <w:pPr>
        <w:pStyle w:val="ListParagraph"/>
        <w:numPr>
          <w:ilvl w:val="2"/>
          <w:numId w:val="14"/>
        </w:numPr>
        <w:spacing w:before="120" w:after="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Trajnimi i stafit përgjegjës për analizën e të dhënave dhe të dhënat e raportimit </w:t>
      </w:r>
      <w:r w:rsidR="002B792A" w:rsidRPr="00EA1CA4">
        <w:rPr>
          <w:rFonts w:ascii="Times New Roman" w:hAnsi="Times New Roman"/>
          <w:sz w:val="24"/>
          <w:szCs w:val="24"/>
          <w:lang w:val="sq-AL"/>
        </w:rPr>
        <w:t xml:space="preserve">rutinor, si </w:t>
      </w:r>
      <w:r w:rsidRPr="00EA1CA4">
        <w:rPr>
          <w:rFonts w:ascii="Times New Roman" w:hAnsi="Times New Roman"/>
          <w:sz w:val="24"/>
          <w:szCs w:val="24"/>
          <w:lang w:val="sq-AL"/>
        </w:rPr>
        <w:t xml:space="preserve">dhe përdorimin e tyre </w:t>
      </w:r>
      <w:r w:rsidR="002B792A" w:rsidRPr="00EA1CA4">
        <w:rPr>
          <w:rFonts w:ascii="Times New Roman" w:hAnsi="Times New Roman"/>
          <w:sz w:val="24"/>
          <w:szCs w:val="24"/>
          <w:lang w:val="sq-AL"/>
        </w:rPr>
        <w:t>n</w:t>
      </w:r>
      <w:r w:rsidRPr="00EA1CA4">
        <w:rPr>
          <w:rFonts w:ascii="Times New Roman" w:hAnsi="Times New Roman"/>
          <w:sz w:val="24"/>
          <w:szCs w:val="24"/>
          <w:lang w:val="sq-AL"/>
        </w:rPr>
        <w:t>ë vendimmarrje</w:t>
      </w:r>
    </w:p>
    <w:p w:rsidR="006A633F" w:rsidRPr="00EA1CA4" w:rsidRDefault="006A633F" w:rsidP="00624E04">
      <w:pPr>
        <w:pStyle w:val="ListParagraph"/>
        <w:spacing w:before="120" w:after="0" w:line="276" w:lineRule="auto"/>
        <w:ind w:left="0"/>
        <w:jc w:val="both"/>
        <w:rPr>
          <w:rFonts w:ascii="Times New Roman" w:hAnsi="Times New Roman"/>
          <w:sz w:val="24"/>
          <w:szCs w:val="24"/>
          <w:lang w:val="sq-AL"/>
        </w:rPr>
      </w:pPr>
    </w:p>
    <w:p w:rsidR="006A633F" w:rsidRPr="00EA1CA4" w:rsidRDefault="00E854EB" w:rsidP="00624E04">
      <w:pPr>
        <w:pStyle w:val="ListParagraph"/>
        <w:spacing w:before="120" w:after="0" w:line="276" w:lineRule="auto"/>
        <w:ind w:left="0"/>
        <w:jc w:val="both"/>
        <w:rPr>
          <w:rFonts w:ascii="Times New Roman" w:hAnsi="Times New Roman"/>
          <w:b/>
          <w:sz w:val="24"/>
          <w:szCs w:val="24"/>
          <w:lang w:val="sq-AL"/>
        </w:rPr>
      </w:pPr>
      <w:bookmarkStart w:id="32" w:name="_Toc93005256"/>
      <w:r w:rsidRPr="00EA1CA4">
        <w:rPr>
          <w:rFonts w:ascii="Times New Roman" w:hAnsi="Times New Roman"/>
          <w:b/>
          <w:sz w:val="24"/>
          <w:szCs w:val="24"/>
          <w:lang w:val="sq-AL"/>
        </w:rPr>
        <w:t xml:space="preserve">Rezultati 3.5. </w:t>
      </w:r>
      <w:r w:rsidR="002B792A" w:rsidRPr="00EA1CA4">
        <w:rPr>
          <w:rFonts w:ascii="Times New Roman" w:hAnsi="Times New Roman"/>
          <w:b/>
          <w:sz w:val="24"/>
          <w:szCs w:val="24"/>
          <w:lang w:val="sq-AL"/>
        </w:rPr>
        <w:t>Orient</w:t>
      </w:r>
      <w:r w:rsidR="0000070C" w:rsidRPr="00EA1CA4">
        <w:rPr>
          <w:rFonts w:ascii="Times New Roman" w:hAnsi="Times New Roman"/>
          <w:b/>
          <w:sz w:val="24"/>
          <w:szCs w:val="24"/>
          <w:lang w:val="sq-AL"/>
        </w:rPr>
        <w:t>imi i of</w:t>
      </w:r>
      <w:r w:rsidRPr="00EA1CA4">
        <w:rPr>
          <w:rFonts w:ascii="Times New Roman" w:hAnsi="Times New Roman"/>
          <w:b/>
          <w:sz w:val="24"/>
          <w:szCs w:val="24"/>
          <w:lang w:val="sq-AL"/>
        </w:rPr>
        <w:t>rimi</w:t>
      </w:r>
      <w:r w:rsidR="0000070C" w:rsidRPr="00EA1CA4">
        <w:rPr>
          <w:rFonts w:ascii="Times New Roman" w:hAnsi="Times New Roman"/>
          <w:b/>
          <w:sz w:val="24"/>
          <w:szCs w:val="24"/>
          <w:lang w:val="sq-AL"/>
        </w:rPr>
        <w:t>t</w:t>
      </w:r>
      <w:r w:rsidRPr="00EA1CA4">
        <w:rPr>
          <w:rFonts w:ascii="Times New Roman" w:hAnsi="Times New Roman"/>
          <w:b/>
          <w:sz w:val="24"/>
          <w:szCs w:val="24"/>
          <w:lang w:val="sq-AL"/>
        </w:rPr>
        <w:t xml:space="preserve"> </w:t>
      </w:r>
      <w:r w:rsidR="0000070C" w:rsidRPr="00EA1CA4">
        <w:rPr>
          <w:rFonts w:ascii="Times New Roman" w:hAnsi="Times New Roman"/>
          <w:b/>
          <w:sz w:val="24"/>
          <w:szCs w:val="24"/>
          <w:lang w:val="sq-AL"/>
        </w:rPr>
        <w:t>të</w:t>
      </w:r>
      <w:r w:rsidRPr="00EA1CA4">
        <w:rPr>
          <w:rFonts w:ascii="Times New Roman" w:hAnsi="Times New Roman"/>
          <w:b/>
          <w:sz w:val="24"/>
          <w:szCs w:val="24"/>
          <w:lang w:val="sq-AL"/>
        </w:rPr>
        <w:t xml:space="preserve"> shërbimeve duke siguruar mbulim të zgjeruar, cilësi të shërbimeve të vazhdueshme dhe të koordinuara, planifikim</w:t>
      </w:r>
      <w:r w:rsidR="002B792A" w:rsidRPr="00EA1CA4">
        <w:rPr>
          <w:rFonts w:ascii="Times New Roman" w:hAnsi="Times New Roman"/>
          <w:b/>
          <w:sz w:val="24"/>
          <w:szCs w:val="24"/>
          <w:lang w:val="sq-AL"/>
        </w:rPr>
        <w:t xml:space="preserve">e kontingjente </w:t>
      </w:r>
      <w:r w:rsidRPr="00EA1CA4">
        <w:rPr>
          <w:rFonts w:ascii="Times New Roman" w:hAnsi="Times New Roman"/>
          <w:b/>
          <w:sz w:val="24"/>
          <w:szCs w:val="24"/>
          <w:lang w:val="sq-AL"/>
        </w:rPr>
        <w:t>për situata emergjente</w:t>
      </w:r>
      <w:bookmarkEnd w:id="32"/>
    </w:p>
    <w:p w:rsidR="00376FAA" w:rsidRPr="00EA1CA4" w:rsidRDefault="00376FAA" w:rsidP="00624E04">
      <w:pPr>
        <w:pStyle w:val="ListParagraph"/>
        <w:spacing w:before="120" w:after="0" w:line="276" w:lineRule="auto"/>
        <w:ind w:left="0"/>
        <w:jc w:val="both"/>
        <w:rPr>
          <w:rFonts w:ascii="Times New Roman" w:hAnsi="Times New Roman"/>
          <w:b/>
          <w:sz w:val="24"/>
          <w:szCs w:val="24"/>
          <w:lang w:val="sq-AL"/>
        </w:rPr>
      </w:pPr>
    </w:p>
    <w:p w:rsidR="006A633F" w:rsidRPr="00EA1CA4" w:rsidRDefault="00E854EB" w:rsidP="00624E04">
      <w:pPr>
        <w:spacing w:line="276" w:lineRule="auto"/>
        <w:jc w:val="both"/>
        <w:rPr>
          <w:b/>
          <w:i/>
        </w:rPr>
      </w:pPr>
      <w:r w:rsidRPr="00EA1CA4">
        <w:rPr>
          <w:b/>
          <w:i/>
        </w:rPr>
        <w:t>Aktivitetet e planifikuara</w:t>
      </w:r>
    </w:p>
    <w:p w:rsidR="006A633F" w:rsidRPr="00EA1CA4" w:rsidRDefault="00E854EB">
      <w:pPr>
        <w:pStyle w:val="ListParagraph"/>
        <w:numPr>
          <w:ilvl w:val="2"/>
          <w:numId w:val="15"/>
        </w:numPr>
        <w:spacing w:before="120" w:after="120" w:line="276" w:lineRule="auto"/>
        <w:jc w:val="both"/>
        <w:rPr>
          <w:rFonts w:ascii="Times New Roman" w:hAnsi="Times New Roman"/>
          <w:bCs/>
          <w:iCs/>
          <w:color w:val="000000"/>
          <w:sz w:val="24"/>
          <w:szCs w:val="24"/>
          <w:lang w:val="sq-AL"/>
        </w:rPr>
      </w:pPr>
      <w:r w:rsidRPr="00EA1CA4">
        <w:rPr>
          <w:rFonts w:ascii="Times New Roman" w:hAnsi="Times New Roman"/>
          <w:color w:val="000000"/>
          <w:sz w:val="24"/>
          <w:szCs w:val="24"/>
          <w:lang w:val="sq-AL"/>
        </w:rPr>
        <w:t>Zhvill</w:t>
      </w:r>
      <w:r w:rsidR="002B792A" w:rsidRPr="00EA1CA4">
        <w:rPr>
          <w:rFonts w:ascii="Times New Roman" w:hAnsi="Times New Roman"/>
          <w:color w:val="000000"/>
          <w:sz w:val="24"/>
          <w:szCs w:val="24"/>
          <w:lang w:val="sq-AL"/>
        </w:rPr>
        <w:t xml:space="preserve">imi i </w:t>
      </w:r>
      <w:r w:rsidRPr="00EA1CA4">
        <w:rPr>
          <w:rFonts w:ascii="Times New Roman" w:hAnsi="Times New Roman"/>
          <w:color w:val="000000"/>
          <w:sz w:val="24"/>
          <w:szCs w:val="24"/>
          <w:lang w:val="sq-AL"/>
        </w:rPr>
        <w:t>një strategji</w:t>
      </w:r>
      <w:r w:rsidR="002B792A" w:rsidRPr="00EA1CA4">
        <w:rPr>
          <w:rFonts w:ascii="Times New Roman" w:hAnsi="Times New Roman"/>
          <w:color w:val="000000"/>
          <w:sz w:val="24"/>
          <w:szCs w:val="24"/>
          <w:lang w:val="sq-AL"/>
        </w:rPr>
        <w:t>e</w:t>
      </w:r>
      <w:r w:rsidRPr="00EA1CA4">
        <w:rPr>
          <w:rFonts w:ascii="Times New Roman" w:hAnsi="Times New Roman"/>
          <w:color w:val="000000"/>
          <w:sz w:val="24"/>
          <w:szCs w:val="24"/>
          <w:lang w:val="sq-AL"/>
        </w:rPr>
        <w:t xml:space="preserve"> gjithëpërfshirëse dhe plan</w:t>
      </w:r>
      <w:r w:rsidR="002B792A" w:rsidRPr="00EA1CA4">
        <w:rPr>
          <w:rFonts w:ascii="Times New Roman" w:hAnsi="Times New Roman"/>
          <w:color w:val="000000"/>
          <w:sz w:val="24"/>
          <w:szCs w:val="24"/>
          <w:lang w:val="sq-AL"/>
        </w:rPr>
        <w:t>i</w:t>
      </w:r>
      <w:r w:rsidRPr="00EA1CA4">
        <w:rPr>
          <w:rFonts w:ascii="Times New Roman" w:hAnsi="Times New Roman"/>
          <w:color w:val="000000"/>
          <w:sz w:val="24"/>
          <w:szCs w:val="24"/>
          <w:lang w:val="sq-AL"/>
        </w:rPr>
        <w:t xml:space="preserve"> operacional për të </w:t>
      </w:r>
      <w:r w:rsidR="002B792A" w:rsidRPr="00EA1CA4">
        <w:rPr>
          <w:rFonts w:ascii="Times New Roman" w:hAnsi="Times New Roman"/>
          <w:color w:val="000000"/>
          <w:sz w:val="24"/>
          <w:szCs w:val="24"/>
          <w:lang w:val="sq-AL"/>
        </w:rPr>
        <w:t xml:space="preserve">përmirësuar </w:t>
      </w:r>
      <w:r w:rsidRPr="00EA1CA4">
        <w:rPr>
          <w:rFonts w:ascii="Times New Roman" w:hAnsi="Times New Roman"/>
          <w:color w:val="000000"/>
          <w:sz w:val="24"/>
          <w:szCs w:val="24"/>
          <w:lang w:val="sq-AL"/>
        </w:rPr>
        <w:t>modelin e ri të shërbimit të TB-së me në qendër pacientin</w:t>
      </w:r>
    </w:p>
    <w:p w:rsidR="00E854EB" w:rsidRPr="00EA1CA4" w:rsidRDefault="00E854EB">
      <w:pPr>
        <w:pStyle w:val="ListParagraph"/>
        <w:numPr>
          <w:ilvl w:val="2"/>
          <w:numId w:val="15"/>
        </w:numPr>
        <w:spacing w:before="120" w:after="120" w:line="276" w:lineRule="auto"/>
        <w:jc w:val="both"/>
        <w:rPr>
          <w:rFonts w:ascii="Times New Roman" w:hAnsi="Times New Roman"/>
          <w:bCs/>
          <w:iCs/>
          <w:color w:val="000000"/>
          <w:sz w:val="24"/>
          <w:szCs w:val="24"/>
          <w:lang w:val="sq-AL"/>
        </w:rPr>
      </w:pPr>
      <w:r w:rsidRPr="00EA1CA4">
        <w:rPr>
          <w:rFonts w:ascii="Times New Roman" w:hAnsi="Times New Roman"/>
          <w:bCs/>
          <w:iCs/>
          <w:color w:val="000000"/>
          <w:sz w:val="24"/>
          <w:szCs w:val="24"/>
          <w:lang w:val="sq-AL"/>
        </w:rPr>
        <w:t xml:space="preserve">Zhvillimi i një kornize politikash për integrimin e shërbimeve të TB në </w:t>
      </w:r>
      <w:r w:rsidR="00981C51" w:rsidRPr="00EA1CA4">
        <w:rPr>
          <w:rFonts w:ascii="Times New Roman" w:hAnsi="Times New Roman"/>
          <w:bCs/>
          <w:iCs/>
          <w:color w:val="000000"/>
          <w:sz w:val="24"/>
          <w:szCs w:val="24"/>
          <w:lang w:val="sq-AL"/>
        </w:rPr>
        <w:t>KSHP</w:t>
      </w:r>
    </w:p>
    <w:p w:rsidR="00E854EB" w:rsidRPr="00EA1CA4" w:rsidRDefault="00E854EB">
      <w:pPr>
        <w:pStyle w:val="ListParagraph"/>
        <w:numPr>
          <w:ilvl w:val="2"/>
          <w:numId w:val="15"/>
        </w:numPr>
        <w:spacing w:before="120" w:after="120" w:line="276" w:lineRule="auto"/>
        <w:jc w:val="both"/>
        <w:rPr>
          <w:rFonts w:ascii="Times New Roman" w:hAnsi="Times New Roman"/>
          <w:bCs/>
          <w:iCs/>
          <w:color w:val="000000"/>
          <w:sz w:val="24"/>
          <w:szCs w:val="24"/>
          <w:lang w:val="sq-AL"/>
        </w:rPr>
      </w:pPr>
      <w:r w:rsidRPr="00EA1CA4">
        <w:rPr>
          <w:rFonts w:ascii="Times New Roman" w:hAnsi="Times New Roman"/>
          <w:color w:val="000000"/>
          <w:sz w:val="24"/>
          <w:szCs w:val="24"/>
          <w:lang w:val="sq-AL"/>
        </w:rPr>
        <w:t>Krijimi i mekanizmit për përmirësimin e koordinimit dhe krijimi i mekanizmit të përbashkët të raportimit të PKT</w:t>
      </w:r>
      <w:r w:rsidR="008A727A" w:rsidRPr="00EA1CA4">
        <w:rPr>
          <w:rFonts w:ascii="Times New Roman" w:hAnsi="Times New Roman"/>
          <w:color w:val="000000"/>
          <w:sz w:val="24"/>
          <w:szCs w:val="24"/>
          <w:lang w:val="sq-AL"/>
        </w:rPr>
        <w:t>B</w:t>
      </w:r>
      <w:r w:rsidRPr="00EA1CA4">
        <w:rPr>
          <w:rFonts w:ascii="Times New Roman" w:hAnsi="Times New Roman"/>
          <w:color w:val="000000"/>
          <w:sz w:val="24"/>
          <w:szCs w:val="24"/>
          <w:lang w:val="sq-AL"/>
        </w:rPr>
        <w:t xml:space="preserve"> me shërbimet e TB në sektorin privat</w:t>
      </w:r>
    </w:p>
    <w:p w:rsidR="00E854EB" w:rsidRPr="00EA1CA4" w:rsidRDefault="000B4B9C">
      <w:pPr>
        <w:pStyle w:val="ListParagraph"/>
        <w:numPr>
          <w:ilvl w:val="2"/>
          <w:numId w:val="15"/>
        </w:numPr>
        <w:spacing w:before="120" w:after="0" w:line="276" w:lineRule="auto"/>
        <w:jc w:val="both"/>
        <w:rPr>
          <w:rFonts w:ascii="Times New Roman" w:hAnsi="Times New Roman"/>
          <w:bCs/>
          <w:iCs/>
          <w:color w:val="000000"/>
          <w:sz w:val="24"/>
          <w:szCs w:val="24"/>
          <w:lang w:val="sq-AL"/>
        </w:rPr>
      </w:pPr>
      <w:r w:rsidRPr="00EA1CA4">
        <w:rPr>
          <w:rFonts w:ascii="Times New Roman" w:hAnsi="Times New Roman"/>
          <w:bCs/>
          <w:iCs/>
          <w:color w:val="000000"/>
          <w:sz w:val="24"/>
          <w:szCs w:val="24"/>
          <w:lang w:val="sq-AL"/>
        </w:rPr>
        <w:t>Orientimi i</w:t>
      </w:r>
      <w:r w:rsidR="00E854EB" w:rsidRPr="00EA1CA4">
        <w:rPr>
          <w:rFonts w:ascii="Times New Roman" w:hAnsi="Times New Roman"/>
          <w:bCs/>
          <w:iCs/>
          <w:color w:val="000000"/>
          <w:sz w:val="24"/>
          <w:szCs w:val="24"/>
          <w:lang w:val="sq-AL"/>
        </w:rPr>
        <w:t xml:space="preserve"> lidhje</w:t>
      </w:r>
      <w:r w:rsidRPr="00EA1CA4">
        <w:rPr>
          <w:rFonts w:ascii="Times New Roman" w:hAnsi="Times New Roman"/>
          <w:bCs/>
          <w:iCs/>
          <w:color w:val="000000"/>
          <w:sz w:val="24"/>
          <w:szCs w:val="24"/>
          <w:lang w:val="sq-AL"/>
        </w:rPr>
        <w:t xml:space="preserve">ve </w:t>
      </w:r>
      <w:r w:rsidR="00E854EB" w:rsidRPr="00EA1CA4">
        <w:rPr>
          <w:rFonts w:ascii="Times New Roman" w:hAnsi="Times New Roman"/>
          <w:bCs/>
          <w:iCs/>
          <w:color w:val="000000"/>
          <w:sz w:val="24"/>
          <w:szCs w:val="24"/>
          <w:lang w:val="sq-AL"/>
        </w:rPr>
        <w:t>ndërmjet punonjësve shëndetësorë dhe punonjësve shëndetësorë në komunitet</w:t>
      </w:r>
      <w:r w:rsidRPr="00EA1CA4">
        <w:rPr>
          <w:rFonts w:ascii="Times New Roman" w:hAnsi="Times New Roman"/>
          <w:bCs/>
          <w:iCs/>
          <w:color w:val="000000"/>
          <w:sz w:val="24"/>
          <w:szCs w:val="24"/>
          <w:lang w:val="sq-AL"/>
        </w:rPr>
        <w:t>,</w:t>
      </w:r>
      <w:r w:rsidR="00E854EB" w:rsidRPr="00EA1CA4">
        <w:rPr>
          <w:rFonts w:ascii="Times New Roman" w:hAnsi="Times New Roman"/>
          <w:bCs/>
          <w:iCs/>
          <w:color w:val="000000"/>
          <w:sz w:val="24"/>
          <w:szCs w:val="24"/>
          <w:lang w:val="sq-AL"/>
        </w:rPr>
        <w:t xml:space="preserve"> duke zhvilluar algoritme referimi dhe kundër</w:t>
      </w:r>
      <w:r w:rsidRPr="00EA1CA4">
        <w:rPr>
          <w:rFonts w:ascii="Times New Roman" w:hAnsi="Times New Roman"/>
          <w:bCs/>
          <w:iCs/>
          <w:color w:val="000000"/>
          <w:sz w:val="24"/>
          <w:szCs w:val="24"/>
          <w:lang w:val="sq-AL"/>
        </w:rPr>
        <w:t xml:space="preserve"> </w:t>
      </w:r>
      <w:r w:rsidR="00E854EB" w:rsidRPr="00EA1CA4">
        <w:rPr>
          <w:rFonts w:ascii="Times New Roman" w:hAnsi="Times New Roman"/>
          <w:bCs/>
          <w:iCs/>
          <w:color w:val="000000"/>
          <w:sz w:val="24"/>
          <w:szCs w:val="24"/>
          <w:lang w:val="sq-AL"/>
        </w:rPr>
        <w:t>referimi (rrugët e pacientëve) dhe ngritjen e kapaciteteve të O</w:t>
      </w:r>
      <w:r w:rsidRPr="00EA1CA4">
        <w:rPr>
          <w:rFonts w:ascii="Times New Roman" w:hAnsi="Times New Roman"/>
          <w:bCs/>
          <w:iCs/>
          <w:color w:val="000000"/>
          <w:sz w:val="24"/>
          <w:szCs w:val="24"/>
          <w:lang w:val="sq-AL"/>
        </w:rPr>
        <w:t>SHC</w:t>
      </w:r>
      <w:r w:rsidR="00E854EB" w:rsidRPr="00EA1CA4">
        <w:rPr>
          <w:rFonts w:ascii="Times New Roman" w:hAnsi="Times New Roman"/>
          <w:bCs/>
          <w:iCs/>
          <w:color w:val="000000"/>
          <w:sz w:val="24"/>
          <w:szCs w:val="24"/>
          <w:lang w:val="sq-AL"/>
        </w:rPr>
        <w:t xml:space="preserve">-ve dhe ofruesve të </w:t>
      </w:r>
      <w:r w:rsidRPr="00EA1CA4">
        <w:rPr>
          <w:rFonts w:ascii="Times New Roman" w:hAnsi="Times New Roman"/>
          <w:bCs/>
          <w:iCs/>
          <w:color w:val="000000"/>
          <w:sz w:val="24"/>
          <w:szCs w:val="24"/>
          <w:lang w:val="sq-AL"/>
        </w:rPr>
        <w:t xml:space="preserve">kujdesit </w:t>
      </w:r>
      <w:r w:rsidR="00E854EB" w:rsidRPr="00EA1CA4">
        <w:rPr>
          <w:rFonts w:ascii="Times New Roman" w:hAnsi="Times New Roman"/>
          <w:bCs/>
          <w:iCs/>
          <w:color w:val="000000"/>
          <w:sz w:val="24"/>
          <w:szCs w:val="24"/>
          <w:lang w:val="sq-AL"/>
        </w:rPr>
        <w:t>shëndetës</w:t>
      </w:r>
      <w:r w:rsidRPr="00EA1CA4">
        <w:rPr>
          <w:rFonts w:ascii="Times New Roman" w:hAnsi="Times New Roman"/>
          <w:bCs/>
          <w:iCs/>
          <w:color w:val="000000"/>
          <w:sz w:val="24"/>
          <w:szCs w:val="24"/>
          <w:lang w:val="sq-AL"/>
        </w:rPr>
        <w:t>or</w:t>
      </w:r>
      <w:r w:rsidR="00E854EB" w:rsidRPr="00EA1CA4">
        <w:rPr>
          <w:rFonts w:ascii="Times New Roman" w:hAnsi="Times New Roman"/>
          <w:bCs/>
          <w:iCs/>
          <w:color w:val="000000"/>
          <w:sz w:val="24"/>
          <w:szCs w:val="24"/>
          <w:lang w:val="sq-AL"/>
        </w:rPr>
        <w:t xml:space="preserve"> në rrugët e referimit dhe kundër referimit</w:t>
      </w:r>
    </w:p>
    <w:p w:rsidR="006A633F" w:rsidRPr="00EA1CA4" w:rsidRDefault="00E854EB">
      <w:pPr>
        <w:pStyle w:val="ListParagraph"/>
        <w:numPr>
          <w:ilvl w:val="2"/>
          <w:numId w:val="15"/>
        </w:numPr>
        <w:spacing w:before="120" w:after="0" w:line="276" w:lineRule="auto"/>
        <w:jc w:val="both"/>
        <w:rPr>
          <w:rFonts w:ascii="Times New Roman" w:hAnsi="Times New Roman"/>
          <w:bCs/>
          <w:iCs/>
          <w:color w:val="000000"/>
          <w:sz w:val="24"/>
          <w:szCs w:val="24"/>
          <w:lang w:val="sq-AL"/>
        </w:rPr>
      </w:pPr>
      <w:r w:rsidRPr="00EA1CA4">
        <w:rPr>
          <w:rFonts w:ascii="Times New Roman" w:hAnsi="Times New Roman"/>
          <w:color w:val="000000"/>
          <w:sz w:val="24"/>
          <w:szCs w:val="24"/>
          <w:lang w:val="sq-AL"/>
        </w:rPr>
        <w:lastRenderedPageBreak/>
        <w:t>Trajnimi dhe ri</w:t>
      </w:r>
      <w:r w:rsidR="000B4B9C" w:rsidRPr="00EA1CA4">
        <w:rPr>
          <w:rFonts w:ascii="Times New Roman" w:hAnsi="Times New Roman"/>
          <w:color w:val="000000"/>
          <w:sz w:val="24"/>
          <w:szCs w:val="24"/>
          <w:lang w:val="sq-AL"/>
        </w:rPr>
        <w:t>-</w:t>
      </w:r>
      <w:r w:rsidRPr="00EA1CA4">
        <w:rPr>
          <w:rFonts w:ascii="Times New Roman" w:hAnsi="Times New Roman"/>
          <w:color w:val="000000"/>
          <w:sz w:val="24"/>
          <w:szCs w:val="24"/>
          <w:lang w:val="sq-AL"/>
        </w:rPr>
        <w:t>trajnimi i mjekëve dhe infermierëve familj</w:t>
      </w:r>
      <w:r w:rsidR="000B4B9C" w:rsidRPr="00EA1CA4">
        <w:rPr>
          <w:rFonts w:ascii="Times New Roman" w:hAnsi="Times New Roman"/>
          <w:color w:val="000000"/>
          <w:sz w:val="24"/>
          <w:szCs w:val="24"/>
          <w:lang w:val="sq-AL"/>
        </w:rPr>
        <w:t>ar</w:t>
      </w:r>
      <w:r w:rsidRPr="00EA1CA4">
        <w:rPr>
          <w:rFonts w:ascii="Times New Roman" w:hAnsi="Times New Roman"/>
          <w:color w:val="000000"/>
          <w:sz w:val="24"/>
          <w:szCs w:val="24"/>
          <w:lang w:val="sq-AL"/>
        </w:rPr>
        <w:t xml:space="preserve"> në nivel </w:t>
      </w:r>
      <w:r w:rsidR="000B4B9C" w:rsidRPr="00EA1CA4">
        <w:rPr>
          <w:rFonts w:ascii="Times New Roman" w:hAnsi="Times New Roman"/>
          <w:color w:val="000000"/>
          <w:sz w:val="24"/>
          <w:szCs w:val="24"/>
          <w:lang w:val="sq-AL"/>
        </w:rPr>
        <w:t xml:space="preserve">të </w:t>
      </w:r>
      <w:r w:rsidR="00981C51" w:rsidRPr="00EA1CA4">
        <w:rPr>
          <w:rFonts w:ascii="Times New Roman" w:hAnsi="Times New Roman"/>
          <w:color w:val="000000"/>
          <w:sz w:val="24"/>
          <w:szCs w:val="24"/>
          <w:lang w:val="sq-AL"/>
        </w:rPr>
        <w:t>KSHP</w:t>
      </w:r>
      <w:r w:rsidRPr="00EA1CA4">
        <w:rPr>
          <w:rFonts w:ascii="Times New Roman" w:hAnsi="Times New Roman"/>
          <w:color w:val="000000"/>
          <w:sz w:val="24"/>
          <w:szCs w:val="24"/>
          <w:lang w:val="sq-AL"/>
        </w:rPr>
        <w:t xml:space="preserve"> </w:t>
      </w:r>
      <w:r w:rsidR="000B4B9C" w:rsidRPr="00EA1CA4">
        <w:rPr>
          <w:rFonts w:ascii="Times New Roman" w:hAnsi="Times New Roman"/>
          <w:color w:val="000000"/>
          <w:sz w:val="24"/>
          <w:szCs w:val="24"/>
          <w:lang w:val="sq-AL"/>
        </w:rPr>
        <w:t>p</w:t>
      </w:r>
      <w:r w:rsidRPr="00EA1CA4">
        <w:rPr>
          <w:rFonts w:ascii="Times New Roman" w:hAnsi="Times New Roman"/>
          <w:color w:val="000000"/>
          <w:sz w:val="24"/>
          <w:szCs w:val="24"/>
          <w:lang w:val="sq-AL"/>
        </w:rPr>
        <w:t>ë</w:t>
      </w:r>
      <w:r w:rsidR="000B4B9C" w:rsidRPr="00EA1CA4">
        <w:rPr>
          <w:rFonts w:ascii="Times New Roman" w:hAnsi="Times New Roman"/>
          <w:color w:val="000000"/>
          <w:sz w:val="24"/>
          <w:szCs w:val="24"/>
          <w:lang w:val="sq-AL"/>
        </w:rPr>
        <w:t>r</w:t>
      </w:r>
      <w:r w:rsidRPr="00EA1CA4">
        <w:rPr>
          <w:rFonts w:ascii="Times New Roman" w:hAnsi="Times New Roman"/>
          <w:color w:val="000000"/>
          <w:sz w:val="24"/>
          <w:szCs w:val="24"/>
          <w:lang w:val="sq-AL"/>
        </w:rPr>
        <w:t xml:space="preserve"> detektimin dhe gjurmimin e kontakteve të TB-së, diagnostikimin, menaxhimin e rasteve, DOT ambulatore, hetimin dhe trajtimin e </w:t>
      </w:r>
      <w:r w:rsidR="002070A5" w:rsidRPr="00EA1CA4">
        <w:rPr>
          <w:rFonts w:ascii="Times New Roman" w:hAnsi="Times New Roman"/>
          <w:color w:val="000000"/>
          <w:sz w:val="24"/>
          <w:szCs w:val="24"/>
          <w:lang w:val="sq-AL"/>
        </w:rPr>
        <w:t>I</w:t>
      </w:r>
      <w:r w:rsidRPr="00EA1CA4">
        <w:rPr>
          <w:rFonts w:ascii="Times New Roman" w:hAnsi="Times New Roman"/>
          <w:color w:val="000000"/>
          <w:sz w:val="24"/>
          <w:szCs w:val="24"/>
          <w:lang w:val="sq-AL"/>
        </w:rPr>
        <w:t>LTB, trajtimin, transporti</w:t>
      </w:r>
      <w:r w:rsidR="000B4B9C" w:rsidRPr="00EA1CA4">
        <w:rPr>
          <w:rFonts w:ascii="Times New Roman" w:hAnsi="Times New Roman"/>
          <w:color w:val="000000"/>
          <w:sz w:val="24"/>
          <w:szCs w:val="24"/>
          <w:lang w:val="sq-AL"/>
        </w:rPr>
        <w:t>n</w:t>
      </w:r>
      <w:r w:rsidRPr="00EA1CA4">
        <w:rPr>
          <w:rFonts w:ascii="Times New Roman" w:hAnsi="Times New Roman"/>
          <w:color w:val="000000"/>
          <w:sz w:val="24"/>
          <w:szCs w:val="24"/>
          <w:lang w:val="sq-AL"/>
        </w:rPr>
        <w:t xml:space="preserve"> e sputumit, sistemin e raportimit elektronik dhe sensibilizimin ndaj stigmës dhe diskriminimit të pacientëve me TB dhe TB-HIV</w:t>
      </w:r>
    </w:p>
    <w:p w:rsidR="006A633F" w:rsidRPr="00EA1CA4" w:rsidRDefault="00951D0F">
      <w:pPr>
        <w:pStyle w:val="ListParagraph"/>
        <w:numPr>
          <w:ilvl w:val="2"/>
          <w:numId w:val="15"/>
        </w:numPr>
        <w:spacing w:before="120" w:after="0" w:line="276" w:lineRule="auto"/>
        <w:jc w:val="both"/>
        <w:rPr>
          <w:rFonts w:ascii="Times New Roman" w:hAnsi="Times New Roman"/>
          <w:bCs/>
          <w:iCs/>
          <w:color w:val="000000"/>
          <w:sz w:val="24"/>
          <w:szCs w:val="24"/>
          <w:lang w:val="sq-AL"/>
        </w:rPr>
      </w:pPr>
      <w:r w:rsidRPr="00EA1CA4">
        <w:rPr>
          <w:rFonts w:ascii="Times New Roman" w:hAnsi="Times New Roman"/>
          <w:sz w:val="24"/>
          <w:szCs w:val="24"/>
          <w:lang w:val="sq-AL"/>
        </w:rPr>
        <w:t>Sigur</w:t>
      </w:r>
      <w:r w:rsidR="000B4B9C" w:rsidRPr="00EA1CA4">
        <w:rPr>
          <w:rFonts w:ascii="Times New Roman" w:hAnsi="Times New Roman"/>
          <w:sz w:val="24"/>
          <w:szCs w:val="24"/>
          <w:lang w:val="sq-AL"/>
        </w:rPr>
        <w:t xml:space="preserve">imi i </w:t>
      </w:r>
      <w:r w:rsidRPr="00EA1CA4">
        <w:rPr>
          <w:rFonts w:ascii="Times New Roman" w:hAnsi="Times New Roman"/>
          <w:sz w:val="24"/>
          <w:szCs w:val="24"/>
          <w:lang w:val="sq-AL"/>
        </w:rPr>
        <w:t>zhvillim</w:t>
      </w:r>
      <w:r w:rsidR="000B4B9C" w:rsidRPr="00EA1CA4">
        <w:rPr>
          <w:rFonts w:ascii="Times New Roman" w:hAnsi="Times New Roman"/>
          <w:sz w:val="24"/>
          <w:szCs w:val="24"/>
          <w:lang w:val="sq-AL"/>
        </w:rPr>
        <w:t xml:space="preserve">it </w:t>
      </w:r>
      <w:r w:rsidRPr="00EA1CA4">
        <w:rPr>
          <w:rFonts w:ascii="Times New Roman" w:hAnsi="Times New Roman"/>
          <w:sz w:val="24"/>
          <w:szCs w:val="24"/>
          <w:lang w:val="sq-AL"/>
        </w:rPr>
        <w:t>të vazhdueshëm profesional për të paraqitur udhëzime klinike dhe protokolle të miratuara për TB</w:t>
      </w:r>
      <w:r w:rsidR="009025B4" w:rsidRPr="00EA1CA4">
        <w:rPr>
          <w:rFonts w:ascii="Times New Roman" w:hAnsi="Times New Roman"/>
          <w:sz w:val="24"/>
          <w:szCs w:val="24"/>
          <w:lang w:val="sq-AL"/>
        </w:rPr>
        <w:t>;</w:t>
      </w:r>
    </w:p>
    <w:p w:rsidR="006A633F" w:rsidRPr="00EA1CA4" w:rsidRDefault="00951D0F">
      <w:pPr>
        <w:pStyle w:val="ListParagraph"/>
        <w:numPr>
          <w:ilvl w:val="2"/>
          <w:numId w:val="15"/>
        </w:numPr>
        <w:spacing w:before="120" w:after="120" w:line="276" w:lineRule="auto"/>
        <w:jc w:val="both"/>
        <w:rPr>
          <w:rFonts w:ascii="Times New Roman" w:hAnsi="Times New Roman"/>
          <w:color w:val="000000"/>
          <w:sz w:val="24"/>
          <w:szCs w:val="24"/>
          <w:lang w:val="sq-AL"/>
        </w:rPr>
      </w:pPr>
      <w:r w:rsidRPr="00EA1CA4">
        <w:rPr>
          <w:rFonts w:ascii="Times New Roman" w:hAnsi="Times New Roman"/>
          <w:color w:val="000000"/>
          <w:sz w:val="24"/>
          <w:szCs w:val="24"/>
          <w:lang w:val="sq-AL"/>
        </w:rPr>
        <w:t>Krij</w:t>
      </w:r>
      <w:r w:rsidR="000B4B9C" w:rsidRPr="00EA1CA4">
        <w:rPr>
          <w:rFonts w:ascii="Times New Roman" w:hAnsi="Times New Roman"/>
          <w:color w:val="000000"/>
          <w:sz w:val="24"/>
          <w:szCs w:val="24"/>
          <w:lang w:val="sq-AL"/>
        </w:rPr>
        <w:t xml:space="preserve">imi i </w:t>
      </w:r>
      <w:r w:rsidRPr="00EA1CA4">
        <w:rPr>
          <w:rFonts w:ascii="Times New Roman" w:hAnsi="Times New Roman"/>
          <w:color w:val="000000"/>
          <w:sz w:val="24"/>
          <w:szCs w:val="24"/>
          <w:lang w:val="sq-AL"/>
        </w:rPr>
        <w:t>sistemi</w:t>
      </w:r>
      <w:r w:rsidR="000B4B9C" w:rsidRPr="00EA1CA4">
        <w:rPr>
          <w:rFonts w:ascii="Times New Roman" w:hAnsi="Times New Roman"/>
          <w:color w:val="000000"/>
          <w:sz w:val="24"/>
          <w:szCs w:val="24"/>
          <w:lang w:val="sq-AL"/>
        </w:rPr>
        <w:t>t</w:t>
      </w:r>
      <w:r w:rsidRPr="00EA1CA4">
        <w:rPr>
          <w:rFonts w:ascii="Times New Roman" w:hAnsi="Times New Roman"/>
          <w:color w:val="000000"/>
          <w:sz w:val="24"/>
          <w:szCs w:val="24"/>
          <w:lang w:val="sq-AL"/>
        </w:rPr>
        <w:t xml:space="preserve"> </w:t>
      </w:r>
      <w:r w:rsidR="000B4B9C" w:rsidRPr="00EA1CA4">
        <w:rPr>
          <w:rFonts w:ascii="Times New Roman" w:hAnsi="Times New Roman"/>
          <w:color w:val="000000"/>
          <w:sz w:val="24"/>
          <w:szCs w:val="24"/>
          <w:lang w:val="sq-AL"/>
        </w:rPr>
        <w:t>të</w:t>
      </w:r>
      <w:r w:rsidRPr="00EA1CA4">
        <w:rPr>
          <w:rFonts w:ascii="Times New Roman" w:hAnsi="Times New Roman"/>
          <w:color w:val="000000"/>
          <w:sz w:val="24"/>
          <w:szCs w:val="24"/>
          <w:lang w:val="sq-AL"/>
        </w:rPr>
        <w:t xml:space="preserve"> vlerësimit të cilësisë së shërbimit dhe përmirësimit të vazhdueshëm të cilësisë nëpërmjet institucionalizimit të strukturave të menaxhimit të cilësisë për të gjithë ofruesit e shërbimeve (publik</w:t>
      </w:r>
      <w:r w:rsidR="000B4B9C" w:rsidRPr="00EA1CA4">
        <w:rPr>
          <w:rFonts w:ascii="Times New Roman" w:hAnsi="Times New Roman"/>
          <w:color w:val="000000"/>
          <w:sz w:val="24"/>
          <w:szCs w:val="24"/>
          <w:lang w:val="sq-AL"/>
        </w:rPr>
        <w:t>e</w:t>
      </w:r>
      <w:r w:rsidRPr="00EA1CA4">
        <w:rPr>
          <w:rFonts w:ascii="Times New Roman" w:hAnsi="Times New Roman"/>
          <w:color w:val="000000"/>
          <w:sz w:val="24"/>
          <w:szCs w:val="24"/>
          <w:lang w:val="sq-AL"/>
        </w:rPr>
        <w:t>, privat</w:t>
      </w:r>
      <w:r w:rsidR="000B4B9C" w:rsidRPr="00EA1CA4">
        <w:rPr>
          <w:rFonts w:ascii="Times New Roman" w:hAnsi="Times New Roman"/>
          <w:color w:val="000000"/>
          <w:sz w:val="24"/>
          <w:szCs w:val="24"/>
          <w:lang w:val="sq-AL"/>
        </w:rPr>
        <w:t>e</w:t>
      </w:r>
      <w:r w:rsidRPr="00EA1CA4">
        <w:rPr>
          <w:rFonts w:ascii="Times New Roman" w:hAnsi="Times New Roman"/>
          <w:color w:val="000000"/>
          <w:sz w:val="24"/>
          <w:szCs w:val="24"/>
          <w:lang w:val="sq-AL"/>
        </w:rPr>
        <w:t>, O</w:t>
      </w:r>
      <w:r w:rsidR="000B4B9C" w:rsidRPr="00EA1CA4">
        <w:rPr>
          <w:rFonts w:ascii="Times New Roman" w:hAnsi="Times New Roman"/>
          <w:color w:val="000000"/>
          <w:sz w:val="24"/>
          <w:szCs w:val="24"/>
          <w:lang w:val="sq-AL"/>
        </w:rPr>
        <w:t>SHC</w:t>
      </w:r>
      <w:r w:rsidRPr="00EA1CA4">
        <w:rPr>
          <w:rFonts w:ascii="Times New Roman" w:hAnsi="Times New Roman"/>
          <w:color w:val="000000"/>
          <w:sz w:val="24"/>
          <w:szCs w:val="24"/>
          <w:lang w:val="sq-AL"/>
        </w:rPr>
        <w:t>); zhvillimin dhe miratimin e standardeve të cilësisë së shërbim</w:t>
      </w:r>
      <w:r w:rsidR="000B4B9C" w:rsidRPr="00EA1CA4">
        <w:rPr>
          <w:rFonts w:ascii="Times New Roman" w:hAnsi="Times New Roman"/>
          <w:color w:val="000000"/>
          <w:sz w:val="24"/>
          <w:szCs w:val="24"/>
          <w:lang w:val="sq-AL"/>
        </w:rPr>
        <w:t xml:space="preserve">eve </w:t>
      </w:r>
      <w:r w:rsidRPr="00EA1CA4">
        <w:rPr>
          <w:rFonts w:ascii="Times New Roman" w:hAnsi="Times New Roman"/>
          <w:color w:val="000000"/>
          <w:sz w:val="24"/>
          <w:szCs w:val="24"/>
          <w:lang w:val="sq-AL"/>
        </w:rPr>
        <w:t xml:space="preserve">të TB dhe treguesve të performancës; zhvillimin e udhëzimeve metodologjike për vlerësimin e cilësisë dhe përmirësimin e vazhdueshëm të cilësisë; dhe ngritjen e kapaciteteve të organizatave ofruese të shërbimeve </w:t>
      </w:r>
      <w:r w:rsidR="000B4B9C" w:rsidRPr="00EA1CA4">
        <w:rPr>
          <w:rFonts w:ascii="Times New Roman" w:hAnsi="Times New Roman"/>
          <w:color w:val="000000"/>
          <w:sz w:val="24"/>
          <w:szCs w:val="24"/>
          <w:lang w:val="sq-AL"/>
        </w:rPr>
        <w:t xml:space="preserve">lidhur me </w:t>
      </w:r>
      <w:r w:rsidRPr="00EA1CA4">
        <w:rPr>
          <w:rFonts w:ascii="Times New Roman" w:hAnsi="Times New Roman"/>
          <w:color w:val="000000"/>
          <w:sz w:val="24"/>
          <w:szCs w:val="24"/>
          <w:lang w:val="sq-AL"/>
        </w:rPr>
        <w:t>procedurat e vetëvlerësimit</w:t>
      </w:r>
      <w:r w:rsidR="006A633F" w:rsidRPr="00EA1CA4">
        <w:rPr>
          <w:rFonts w:ascii="Times New Roman" w:hAnsi="Times New Roman"/>
          <w:color w:val="000000"/>
          <w:sz w:val="24"/>
          <w:szCs w:val="24"/>
          <w:lang w:val="sq-AL"/>
        </w:rPr>
        <w:t>.</w:t>
      </w:r>
    </w:p>
    <w:p w:rsidR="006A633F" w:rsidRPr="00EA1CA4" w:rsidRDefault="006A633F" w:rsidP="00624E04">
      <w:pPr>
        <w:pStyle w:val="ListParagraph"/>
        <w:spacing w:before="120" w:after="0" w:line="276" w:lineRule="auto"/>
        <w:ind w:left="0"/>
        <w:jc w:val="both"/>
        <w:rPr>
          <w:rFonts w:ascii="Times New Roman" w:hAnsi="Times New Roman"/>
          <w:sz w:val="24"/>
          <w:szCs w:val="24"/>
          <w:lang w:val="sq-AL"/>
        </w:rPr>
      </w:pPr>
    </w:p>
    <w:p w:rsidR="005F5A29" w:rsidRPr="00EA1CA4" w:rsidRDefault="00BC7956" w:rsidP="00DA78D3">
      <w:pPr>
        <w:rPr>
          <w:b/>
        </w:rPr>
      </w:pPr>
      <w:r w:rsidRPr="00EA1CA4">
        <w:rPr>
          <w:b/>
          <w:lang w:eastAsia="en-US"/>
        </w:rPr>
        <w:t>Objektivi specifik</w:t>
      </w:r>
      <w:r w:rsidR="000B4B9C" w:rsidRPr="00EA1CA4">
        <w:rPr>
          <w:b/>
        </w:rPr>
        <w:t xml:space="preserve"> </w:t>
      </w:r>
      <w:r w:rsidR="00951D0F" w:rsidRPr="00EA1CA4">
        <w:rPr>
          <w:b/>
        </w:rPr>
        <w:t>4: Forcimi dhe avokimi i sistemeve të komunitetit</w:t>
      </w:r>
    </w:p>
    <w:p w:rsidR="003531D1" w:rsidRPr="00EA1CA4" w:rsidRDefault="003531D1" w:rsidP="00624E04">
      <w:pPr>
        <w:spacing w:line="276" w:lineRule="auto"/>
        <w:jc w:val="both"/>
        <w:rPr>
          <w:b/>
          <w:lang w:eastAsia="en-US"/>
        </w:rPr>
      </w:pPr>
    </w:p>
    <w:p w:rsidR="00951D0F" w:rsidRPr="00EA1CA4" w:rsidRDefault="00951D0F" w:rsidP="00624E04">
      <w:pPr>
        <w:spacing w:line="276" w:lineRule="auto"/>
        <w:jc w:val="both"/>
        <w:rPr>
          <w:b/>
          <w:lang w:eastAsia="en-US"/>
        </w:rPr>
      </w:pPr>
      <w:r w:rsidRPr="00EA1CA4">
        <w:rPr>
          <w:b/>
          <w:lang w:eastAsia="en-US"/>
        </w:rPr>
        <w:t>Rezultati 4.1 Forcimi i sistemeve të komunitetit për TB dhe angazhimi i shoqërisë civile</w:t>
      </w:r>
    </w:p>
    <w:p w:rsidR="003531D1" w:rsidRPr="00EA1CA4" w:rsidRDefault="003531D1" w:rsidP="00624E04">
      <w:pPr>
        <w:spacing w:line="276" w:lineRule="auto"/>
        <w:jc w:val="both"/>
        <w:rPr>
          <w:b/>
          <w:i/>
          <w:lang w:eastAsia="en-US"/>
        </w:rPr>
      </w:pPr>
    </w:p>
    <w:p w:rsidR="005F5A29" w:rsidRPr="00EA1CA4" w:rsidRDefault="00951D0F" w:rsidP="00624E04">
      <w:pPr>
        <w:spacing w:line="276" w:lineRule="auto"/>
        <w:jc w:val="both"/>
        <w:rPr>
          <w:lang w:eastAsia="en-US"/>
        </w:rPr>
      </w:pPr>
      <w:r w:rsidRPr="00EA1CA4">
        <w:rPr>
          <w:b/>
          <w:i/>
          <w:lang w:eastAsia="en-US"/>
        </w:rPr>
        <w:t>Aktivitetet e planifikuara</w:t>
      </w:r>
      <w:r w:rsidR="005F5A29" w:rsidRPr="00EA1CA4">
        <w:rPr>
          <w:lang w:eastAsia="en-US"/>
        </w:rPr>
        <w:t xml:space="preserve">: </w:t>
      </w:r>
    </w:p>
    <w:p w:rsidR="00951D0F" w:rsidRPr="00EA1CA4" w:rsidRDefault="00951D0F">
      <w:pPr>
        <w:pStyle w:val="ListParagraph"/>
        <w:numPr>
          <w:ilvl w:val="2"/>
          <w:numId w:val="16"/>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Zhvillimi i Planit të Forcimit të Sistemeve Komunitare</w:t>
      </w:r>
    </w:p>
    <w:p w:rsidR="00951D0F" w:rsidRPr="00EA1CA4" w:rsidRDefault="00951D0F">
      <w:pPr>
        <w:pStyle w:val="ListParagraph"/>
        <w:numPr>
          <w:ilvl w:val="2"/>
          <w:numId w:val="16"/>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Sigurimi i ngritjes së kapaciteteve </w:t>
      </w:r>
      <w:r w:rsidR="00740724" w:rsidRPr="00EA1CA4">
        <w:rPr>
          <w:rFonts w:ascii="Times New Roman" w:hAnsi="Times New Roman"/>
          <w:sz w:val="24"/>
          <w:szCs w:val="24"/>
          <w:lang w:val="sq-AL"/>
        </w:rPr>
        <w:t>t</w:t>
      </w:r>
      <w:r w:rsidRPr="00EA1CA4">
        <w:rPr>
          <w:rFonts w:ascii="Times New Roman" w:hAnsi="Times New Roman"/>
          <w:sz w:val="24"/>
          <w:szCs w:val="24"/>
          <w:lang w:val="sq-AL"/>
        </w:rPr>
        <w:t>ë</w:t>
      </w:r>
      <w:r w:rsidR="00740724" w:rsidRPr="00EA1CA4">
        <w:rPr>
          <w:rFonts w:ascii="Times New Roman" w:hAnsi="Times New Roman"/>
          <w:sz w:val="24"/>
          <w:szCs w:val="24"/>
          <w:lang w:val="sq-AL"/>
        </w:rPr>
        <w:t xml:space="preserve"> shoqëris</w:t>
      </w:r>
      <w:r w:rsidRPr="00EA1CA4">
        <w:rPr>
          <w:rFonts w:ascii="Times New Roman" w:hAnsi="Times New Roman"/>
          <w:sz w:val="24"/>
          <w:szCs w:val="24"/>
          <w:lang w:val="sq-AL"/>
        </w:rPr>
        <w:t>ë civile dhe grupe</w:t>
      </w:r>
      <w:r w:rsidR="00740724" w:rsidRPr="00EA1CA4">
        <w:rPr>
          <w:rFonts w:ascii="Times New Roman" w:hAnsi="Times New Roman"/>
          <w:sz w:val="24"/>
          <w:szCs w:val="24"/>
          <w:lang w:val="sq-AL"/>
        </w:rPr>
        <w:t xml:space="preserve">ve </w:t>
      </w:r>
      <w:r w:rsidRPr="00EA1CA4">
        <w:rPr>
          <w:rFonts w:ascii="Times New Roman" w:hAnsi="Times New Roman"/>
          <w:sz w:val="24"/>
          <w:szCs w:val="24"/>
          <w:lang w:val="sq-AL"/>
        </w:rPr>
        <w:t>t</w:t>
      </w:r>
      <w:r w:rsidR="00740724" w:rsidRPr="00EA1CA4">
        <w:rPr>
          <w:rFonts w:ascii="Times New Roman" w:hAnsi="Times New Roman"/>
          <w:sz w:val="24"/>
          <w:szCs w:val="24"/>
          <w:lang w:val="sq-AL"/>
        </w:rPr>
        <w:t>ë</w:t>
      </w:r>
      <w:r w:rsidRPr="00EA1CA4">
        <w:rPr>
          <w:rFonts w:ascii="Times New Roman" w:hAnsi="Times New Roman"/>
          <w:sz w:val="24"/>
          <w:szCs w:val="24"/>
          <w:lang w:val="sq-AL"/>
        </w:rPr>
        <w:t xml:space="preserve"> komunitetit</w:t>
      </w:r>
    </w:p>
    <w:p w:rsidR="00951D0F" w:rsidRPr="00EA1CA4" w:rsidRDefault="00740724">
      <w:pPr>
        <w:pStyle w:val="ListParagraph"/>
        <w:numPr>
          <w:ilvl w:val="2"/>
          <w:numId w:val="16"/>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Sigurimi i </w:t>
      </w:r>
      <w:r w:rsidR="00951D0F" w:rsidRPr="00EA1CA4">
        <w:rPr>
          <w:rFonts w:ascii="Times New Roman" w:hAnsi="Times New Roman"/>
          <w:sz w:val="24"/>
          <w:szCs w:val="24"/>
          <w:lang w:val="sq-AL"/>
        </w:rPr>
        <w:t>mbështetjes institucionale për O</w:t>
      </w:r>
      <w:r w:rsidRPr="00EA1CA4">
        <w:rPr>
          <w:rFonts w:ascii="Times New Roman" w:hAnsi="Times New Roman"/>
          <w:sz w:val="24"/>
          <w:szCs w:val="24"/>
          <w:lang w:val="sq-AL"/>
        </w:rPr>
        <w:t>SHC</w:t>
      </w:r>
      <w:r w:rsidR="00951D0F" w:rsidRPr="00EA1CA4">
        <w:rPr>
          <w:rFonts w:ascii="Times New Roman" w:hAnsi="Times New Roman"/>
          <w:sz w:val="24"/>
          <w:szCs w:val="24"/>
          <w:lang w:val="sq-AL"/>
        </w:rPr>
        <w:t xml:space="preserve">-të e angazhuara në </w:t>
      </w:r>
      <w:r w:rsidRPr="00EA1CA4">
        <w:rPr>
          <w:rFonts w:ascii="Times New Roman" w:hAnsi="Times New Roman"/>
          <w:sz w:val="24"/>
          <w:szCs w:val="24"/>
          <w:lang w:val="sq-AL"/>
        </w:rPr>
        <w:t xml:space="preserve">reagimin </w:t>
      </w:r>
      <w:r w:rsidR="00951D0F" w:rsidRPr="00EA1CA4">
        <w:rPr>
          <w:rFonts w:ascii="Times New Roman" w:hAnsi="Times New Roman"/>
          <w:sz w:val="24"/>
          <w:szCs w:val="24"/>
          <w:lang w:val="sq-AL"/>
        </w:rPr>
        <w:t>ndaj TB</w:t>
      </w:r>
      <w:r w:rsidRPr="00EA1CA4">
        <w:rPr>
          <w:rFonts w:ascii="Times New Roman" w:hAnsi="Times New Roman"/>
          <w:sz w:val="24"/>
          <w:szCs w:val="24"/>
          <w:lang w:val="sq-AL"/>
        </w:rPr>
        <w:t>-së</w:t>
      </w:r>
      <w:r w:rsidR="00951D0F" w:rsidRPr="00EA1CA4">
        <w:rPr>
          <w:rFonts w:ascii="Times New Roman" w:hAnsi="Times New Roman"/>
          <w:sz w:val="24"/>
          <w:szCs w:val="24"/>
          <w:lang w:val="sq-AL"/>
        </w:rPr>
        <w:t xml:space="preserve"> në Kosovë</w:t>
      </w:r>
    </w:p>
    <w:p w:rsidR="00951D0F" w:rsidRPr="00EA1CA4" w:rsidRDefault="00951D0F">
      <w:pPr>
        <w:pStyle w:val="ListParagraph"/>
        <w:numPr>
          <w:ilvl w:val="2"/>
          <w:numId w:val="16"/>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Avok</w:t>
      </w:r>
      <w:r w:rsidR="00740724" w:rsidRPr="00EA1CA4">
        <w:rPr>
          <w:rFonts w:ascii="Times New Roman" w:hAnsi="Times New Roman"/>
          <w:sz w:val="24"/>
          <w:szCs w:val="24"/>
          <w:lang w:val="sq-AL"/>
        </w:rPr>
        <w:t xml:space="preserve">imi </w:t>
      </w:r>
      <w:r w:rsidRPr="00EA1CA4">
        <w:rPr>
          <w:rFonts w:ascii="Times New Roman" w:hAnsi="Times New Roman"/>
          <w:sz w:val="24"/>
          <w:szCs w:val="24"/>
          <w:lang w:val="sq-AL"/>
        </w:rPr>
        <w:t>për mobilizimin e burimeve dhe kataliz</w:t>
      </w:r>
      <w:r w:rsidR="00740724" w:rsidRPr="00EA1CA4">
        <w:rPr>
          <w:rFonts w:ascii="Times New Roman" w:hAnsi="Times New Roman"/>
          <w:sz w:val="24"/>
          <w:szCs w:val="24"/>
          <w:lang w:val="sq-AL"/>
        </w:rPr>
        <w:t>imi i</w:t>
      </w:r>
      <w:r w:rsidRPr="00EA1CA4">
        <w:rPr>
          <w:rFonts w:ascii="Times New Roman" w:hAnsi="Times New Roman"/>
          <w:sz w:val="24"/>
          <w:szCs w:val="24"/>
          <w:lang w:val="sq-AL"/>
        </w:rPr>
        <w:t xml:space="preserve"> një shkëmbim</w:t>
      </w:r>
      <w:r w:rsidR="00740724" w:rsidRPr="00EA1CA4">
        <w:rPr>
          <w:rFonts w:ascii="Times New Roman" w:hAnsi="Times New Roman"/>
          <w:sz w:val="24"/>
          <w:szCs w:val="24"/>
          <w:lang w:val="sq-AL"/>
        </w:rPr>
        <w:t>i</w:t>
      </w:r>
      <w:r w:rsidRPr="00EA1CA4">
        <w:rPr>
          <w:rFonts w:ascii="Times New Roman" w:hAnsi="Times New Roman"/>
          <w:sz w:val="24"/>
          <w:szCs w:val="24"/>
          <w:lang w:val="sq-AL"/>
        </w:rPr>
        <w:t xml:space="preserve"> të praktikave më të mira në lidhje me TB</w:t>
      </w:r>
      <w:r w:rsidR="00740724" w:rsidRPr="00EA1CA4">
        <w:rPr>
          <w:rFonts w:ascii="Times New Roman" w:hAnsi="Times New Roman"/>
          <w:sz w:val="24"/>
          <w:szCs w:val="24"/>
          <w:lang w:val="sq-AL"/>
        </w:rPr>
        <w:t>-në</w:t>
      </w:r>
    </w:p>
    <w:p w:rsidR="00951D0F" w:rsidRPr="00EA1CA4" w:rsidRDefault="00951D0F">
      <w:pPr>
        <w:pStyle w:val="ListParagraph"/>
        <w:numPr>
          <w:ilvl w:val="2"/>
          <w:numId w:val="16"/>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lastRenderedPageBreak/>
        <w:t>Zhvillimi i strategjive të A</w:t>
      </w:r>
      <w:r w:rsidR="00740724" w:rsidRPr="00EA1CA4">
        <w:rPr>
          <w:rFonts w:ascii="Times New Roman" w:hAnsi="Times New Roman"/>
          <w:sz w:val="24"/>
          <w:szCs w:val="24"/>
          <w:lang w:val="sq-AL"/>
        </w:rPr>
        <w:t>KMS</w:t>
      </w:r>
      <w:r w:rsidRPr="00EA1CA4">
        <w:rPr>
          <w:rFonts w:ascii="Times New Roman" w:hAnsi="Times New Roman"/>
          <w:sz w:val="24"/>
          <w:szCs w:val="24"/>
          <w:lang w:val="sq-AL"/>
        </w:rPr>
        <w:t xml:space="preserve"> dhe investimi në aktivitetet e A</w:t>
      </w:r>
      <w:r w:rsidR="00740724" w:rsidRPr="00EA1CA4">
        <w:rPr>
          <w:rFonts w:ascii="Times New Roman" w:hAnsi="Times New Roman"/>
          <w:sz w:val="24"/>
          <w:szCs w:val="24"/>
          <w:lang w:val="sq-AL"/>
        </w:rPr>
        <w:t>KMS,</w:t>
      </w:r>
      <w:r w:rsidRPr="00EA1CA4">
        <w:rPr>
          <w:rFonts w:ascii="Times New Roman" w:hAnsi="Times New Roman"/>
          <w:sz w:val="24"/>
          <w:szCs w:val="24"/>
          <w:lang w:val="sq-AL"/>
        </w:rPr>
        <w:t xml:space="preserve"> me fokus në popullatat e cenueshme, duke përfshirë komunitetet RAE</w:t>
      </w:r>
    </w:p>
    <w:p w:rsidR="006A633F" w:rsidRPr="00EA1CA4" w:rsidRDefault="00951D0F">
      <w:pPr>
        <w:pStyle w:val="ListParagraph"/>
        <w:numPr>
          <w:ilvl w:val="2"/>
          <w:numId w:val="16"/>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Organiz</w:t>
      </w:r>
      <w:r w:rsidR="00740724" w:rsidRPr="00EA1CA4">
        <w:rPr>
          <w:rFonts w:ascii="Times New Roman" w:hAnsi="Times New Roman"/>
          <w:sz w:val="24"/>
          <w:szCs w:val="24"/>
          <w:lang w:val="sq-AL"/>
        </w:rPr>
        <w:t xml:space="preserve">imi i </w:t>
      </w:r>
      <w:r w:rsidRPr="00EA1CA4">
        <w:rPr>
          <w:rFonts w:ascii="Times New Roman" w:hAnsi="Times New Roman"/>
          <w:sz w:val="24"/>
          <w:szCs w:val="24"/>
          <w:lang w:val="sq-AL"/>
        </w:rPr>
        <w:t>fushata</w:t>
      </w:r>
      <w:r w:rsidR="00740724" w:rsidRPr="00EA1CA4">
        <w:rPr>
          <w:rFonts w:ascii="Times New Roman" w:hAnsi="Times New Roman"/>
          <w:sz w:val="24"/>
          <w:szCs w:val="24"/>
          <w:lang w:val="sq-AL"/>
        </w:rPr>
        <w:t>ve</w:t>
      </w:r>
      <w:r w:rsidRPr="00EA1CA4">
        <w:rPr>
          <w:rFonts w:ascii="Times New Roman" w:hAnsi="Times New Roman"/>
          <w:sz w:val="24"/>
          <w:szCs w:val="24"/>
          <w:lang w:val="sq-AL"/>
        </w:rPr>
        <w:t xml:space="preserve"> </w:t>
      </w:r>
      <w:r w:rsidR="00740724" w:rsidRPr="00EA1CA4">
        <w:rPr>
          <w:rFonts w:ascii="Times New Roman" w:hAnsi="Times New Roman"/>
          <w:sz w:val="24"/>
          <w:szCs w:val="24"/>
          <w:lang w:val="sq-AL"/>
        </w:rPr>
        <w:t xml:space="preserve">të </w:t>
      </w:r>
      <w:r w:rsidRPr="00EA1CA4">
        <w:rPr>
          <w:rFonts w:ascii="Times New Roman" w:hAnsi="Times New Roman"/>
          <w:sz w:val="24"/>
          <w:szCs w:val="24"/>
          <w:lang w:val="sq-AL"/>
        </w:rPr>
        <w:t>ndërgjegjës</w:t>
      </w:r>
      <w:r w:rsidR="00740724" w:rsidRPr="00EA1CA4">
        <w:rPr>
          <w:rFonts w:ascii="Times New Roman" w:hAnsi="Times New Roman"/>
          <w:sz w:val="24"/>
          <w:szCs w:val="24"/>
          <w:lang w:val="sq-AL"/>
        </w:rPr>
        <w:t xml:space="preserve">imit </w:t>
      </w:r>
      <w:r w:rsidRPr="00EA1CA4">
        <w:rPr>
          <w:rFonts w:ascii="Times New Roman" w:hAnsi="Times New Roman"/>
          <w:sz w:val="24"/>
          <w:szCs w:val="24"/>
          <w:lang w:val="sq-AL"/>
        </w:rPr>
        <w:t>publik (Dita Botërore e TB</w:t>
      </w:r>
      <w:r w:rsidR="00740724" w:rsidRPr="00EA1CA4">
        <w:rPr>
          <w:rFonts w:ascii="Times New Roman" w:hAnsi="Times New Roman"/>
          <w:sz w:val="24"/>
          <w:szCs w:val="24"/>
          <w:lang w:val="sq-AL"/>
        </w:rPr>
        <w:t>-së</w:t>
      </w:r>
      <w:r w:rsidRPr="00EA1CA4">
        <w:rPr>
          <w:rFonts w:ascii="Times New Roman" w:hAnsi="Times New Roman"/>
          <w:sz w:val="24"/>
          <w:szCs w:val="24"/>
          <w:lang w:val="sq-AL"/>
        </w:rPr>
        <w:t xml:space="preserve">) për të rritur </w:t>
      </w:r>
      <w:r w:rsidR="00740724" w:rsidRPr="00EA1CA4">
        <w:rPr>
          <w:rFonts w:ascii="Times New Roman" w:hAnsi="Times New Roman"/>
          <w:sz w:val="24"/>
          <w:szCs w:val="24"/>
          <w:lang w:val="sq-AL"/>
        </w:rPr>
        <w:t xml:space="preserve">vetëdijesimin </w:t>
      </w:r>
      <w:r w:rsidRPr="00EA1CA4">
        <w:rPr>
          <w:rFonts w:ascii="Times New Roman" w:hAnsi="Times New Roman"/>
          <w:sz w:val="24"/>
          <w:szCs w:val="24"/>
          <w:lang w:val="sq-AL"/>
        </w:rPr>
        <w:t xml:space="preserve">për TB dhe për të </w:t>
      </w:r>
      <w:r w:rsidR="00740724" w:rsidRPr="00EA1CA4">
        <w:rPr>
          <w:rFonts w:ascii="Times New Roman" w:hAnsi="Times New Roman"/>
          <w:sz w:val="24"/>
          <w:szCs w:val="24"/>
          <w:lang w:val="sq-AL"/>
        </w:rPr>
        <w:t xml:space="preserve">zvogëluar </w:t>
      </w:r>
      <w:r w:rsidRPr="00EA1CA4">
        <w:rPr>
          <w:rFonts w:ascii="Times New Roman" w:hAnsi="Times New Roman"/>
          <w:sz w:val="24"/>
          <w:szCs w:val="24"/>
          <w:lang w:val="sq-AL"/>
        </w:rPr>
        <w:t>stigmën</w:t>
      </w:r>
      <w:r w:rsidR="005F5A29" w:rsidRPr="00EA1CA4">
        <w:rPr>
          <w:rFonts w:ascii="Times New Roman" w:hAnsi="Times New Roman"/>
          <w:sz w:val="24"/>
          <w:szCs w:val="24"/>
          <w:lang w:val="sq-AL"/>
        </w:rPr>
        <w:t>.</w:t>
      </w:r>
    </w:p>
    <w:p w:rsidR="006A633F" w:rsidRPr="00EA1CA4" w:rsidRDefault="006A633F" w:rsidP="00624E04">
      <w:pPr>
        <w:pStyle w:val="ListParagraph"/>
        <w:spacing w:before="120" w:after="0" w:line="276" w:lineRule="auto"/>
        <w:ind w:left="0"/>
        <w:jc w:val="both"/>
        <w:rPr>
          <w:rFonts w:ascii="Times New Roman" w:hAnsi="Times New Roman"/>
          <w:sz w:val="24"/>
          <w:szCs w:val="24"/>
          <w:lang w:val="sq-AL"/>
        </w:rPr>
      </w:pPr>
    </w:p>
    <w:p w:rsidR="00EC3A86" w:rsidRPr="00EA1CA4" w:rsidRDefault="00EE23EA" w:rsidP="00624E04">
      <w:pPr>
        <w:spacing w:line="276" w:lineRule="auto"/>
        <w:jc w:val="both"/>
        <w:rPr>
          <w:b/>
        </w:rPr>
      </w:pPr>
      <w:r w:rsidRPr="00EA1CA4">
        <w:rPr>
          <w:b/>
        </w:rPr>
        <w:t>Rezultati 4.2 Angazhimi i shoqërisë civile në kujdesin ndaj TB dhe reagimi ndaj përcaktuesve socialë të tuberkulozit</w:t>
      </w:r>
    </w:p>
    <w:p w:rsidR="00376FAA" w:rsidRPr="00EA1CA4" w:rsidRDefault="00376FAA" w:rsidP="00624E04">
      <w:pPr>
        <w:spacing w:line="276" w:lineRule="auto"/>
        <w:jc w:val="both"/>
        <w:rPr>
          <w:b/>
        </w:rPr>
      </w:pPr>
    </w:p>
    <w:p w:rsidR="00EC3A86" w:rsidRPr="00EA1CA4" w:rsidRDefault="00EE23EA" w:rsidP="00624E04">
      <w:pPr>
        <w:spacing w:line="276" w:lineRule="auto"/>
        <w:jc w:val="both"/>
        <w:rPr>
          <w:b/>
          <w:i/>
        </w:rPr>
      </w:pPr>
      <w:r w:rsidRPr="00EA1CA4">
        <w:rPr>
          <w:b/>
          <w:i/>
        </w:rPr>
        <w:t>Aktivitetet e planifikuara</w:t>
      </w:r>
      <w:r w:rsidR="00EC3A86" w:rsidRPr="00EA1CA4">
        <w:rPr>
          <w:b/>
          <w:i/>
        </w:rPr>
        <w:t>:</w:t>
      </w:r>
    </w:p>
    <w:p w:rsidR="00EC3A86" w:rsidRPr="00EA1CA4" w:rsidRDefault="00EE23EA">
      <w:pPr>
        <w:pStyle w:val="ListParagraph"/>
        <w:numPr>
          <w:ilvl w:val="2"/>
          <w:numId w:val="17"/>
        </w:numPr>
        <w:spacing w:before="120" w:after="120" w:line="276" w:lineRule="auto"/>
        <w:jc w:val="both"/>
        <w:rPr>
          <w:rFonts w:ascii="Times New Roman" w:hAnsi="Times New Roman"/>
          <w:color w:val="000000"/>
          <w:sz w:val="24"/>
          <w:szCs w:val="24"/>
          <w:lang w:val="sq-AL"/>
        </w:rPr>
      </w:pPr>
      <w:r w:rsidRPr="00EA1CA4">
        <w:rPr>
          <w:rFonts w:ascii="Times New Roman" w:hAnsi="Times New Roman"/>
          <w:color w:val="000000"/>
          <w:sz w:val="24"/>
          <w:szCs w:val="24"/>
          <w:lang w:val="sq-AL"/>
        </w:rPr>
        <w:t>Zhvill</w:t>
      </w:r>
      <w:r w:rsidR="00885C11" w:rsidRPr="00EA1CA4">
        <w:rPr>
          <w:rFonts w:ascii="Times New Roman" w:hAnsi="Times New Roman"/>
          <w:color w:val="000000"/>
          <w:sz w:val="24"/>
          <w:szCs w:val="24"/>
          <w:lang w:val="sq-AL"/>
        </w:rPr>
        <w:t xml:space="preserve">imi </w:t>
      </w:r>
      <w:r w:rsidRPr="00EA1CA4">
        <w:rPr>
          <w:rFonts w:ascii="Times New Roman" w:hAnsi="Times New Roman"/>
          <w:color w:val="000000"/>
          <w:sz w:val="24"/>
          <w:szCs w:val="24"/>
          <w:lang w:val="sq-AL"/>
        </w:rPr>
        <w:t>dhe mirat</w:t>
      </w:r>
      <w:r w:rsidR="00885C11" w:rsidRPr="00EA1CA4">
        <w:rPr>
          <w:rFonts w:ascii="Times New Roman" w:hAnsi="Times New Roman"/>
          <w:color w:val="000000"/>
          <w:sz w:val="24"/>
          <w:szCs w:val="24"/>
          <w:lang w:val="sq-AL"/>
        </w:rPr>
        <w:t xml:space="preserve">imi i </w:t>
      </w:r>
      <w:r w:rsidRPr="00EA1CA4">
        <w:rPr>
          <w:rFonts w:ascii="Times New Roman" w:hAnsi="Times New Roman"/>
          <w:color w:val="000000"/>
          <w:sz w:val="24"/>
          <w:szCs w:val="24"/>
          <w:lang w:val="sq-AL"/>
        </w:rPr>
        <w:t>mekanizmi</w:t>
      </w:r>
      <w:r w:rsidR="00885C11" w:rsidRPr="00EA1CA4">
        <w:rPr>
          <w:rFonts w:ascii="Times New Roman" w:hAnsi="Times New Roman"/>
          <w:color w:val="000000"/>
          <w:sz w:val="24"/>
          <w:szCs w:val="24"/>
          <w:lang w:val="sq-AL"/>
        </w:rPr>
        <w:t>t</w:t>
      </w:r>
      <w:r w:rsidRPr="00EA1CA4">
        <w:rPr>
          <w:rFonts w:ascii="Times New Roman" w:hAnsi="Times New Roman"/>
          <w:color w:val="000000"/>
          <w:sz w:val="24"/>
          <w:szCs w:val="24"/>
          <w:lang w:val="sq-AL"/>
        </w:rPr>
        <w:t xml:space="preserve"> për masat e mbrojtjes specifike sociale kundër TB-së dhe mobiliz</w:t>
      </w:r>
      <w:r w:rsidR="00885C11" w:rsidRPr="00EA1CA4">
        <w:rPr>
          <w:rFonts w:ascii="Times New Roman" w:hAnsi="Times New Roman"/>
          <w:color w:val="000000"/>
          <w:sz w:val="24"/>
          <w:szCs w:val="24"/>
          <w:lang w:val="sq-AL"/>
        </w:rPr>
        <w:t xml:space="preserve">imi i </w:t>
      </w:r>
      <w:r w:rsidRPr="00EA1CA4">
        <w:rPr>
          <w:rFonts w:ascii="Times New Roman" w:hAnsi="Times New Roman"/>
          <w:color w:val="000000"/>
          <w:sz w:val="24"/>
          <w:szCs w:val="24"/>
          <w:lang w:val="sq-AL"/>
        </w:rPr>
        <w:t>burime</w:t>
      </w:r>
      <w:r w:rsidR="00885C11" w:rsidRPr="00EA1CA4">
        <w:rPr>
          <w:rFonts w:ascii="Times New Roman" w:hAnsi="Times New Roman"/>
          <w:color w:val="000000"/>
          <w:sz w:val="24"/>
          <w:szCs w:val="24"/>
          <w:lang w:val="sq-AL"/>
        </w:rPr>
        <w:t xml:space="preserve">ve </w:t>
      </w:r>
      <w:r w:rsidRPr="00EA1CA4">
        <w:rPr>
          <w:rFonts w:ascii="Times New Roman" w:hAnsi="Times New Roman"/>
          <w:color w:val="000000"/>
          <w:sz w:val="24"/>
          <w:szCs w:val="24"/>
          <w:lang w:val="sq-AL"/>
        </w:rPr>
        <w:t>përkatëse</w:t>
      </w:r>
    </w:p>
    <w:p w:rsidR="00EC3A86" w:rsidRPr="00EA1CA4" w:rsidRDefault="00EE23EA">
      <w:pPr>
        <w:pStyle w:val="ListParagraph"/>
        <w:numPr>
          <w:ilvl w:val="2"/>
          <w:numId w:val="17"/>
        </w:numPr>
        <w:spacing w:before="120" w:after="120" w:line="276" w:lineRule="auto"/>
        <w:jc w:val="both"/>
        <w:rPr>
          <w:rFonts w:ascii="Times New Roman" w:hAnsi="Times New Roman"/>
          <w:color w:val="000000"/>
          <w:sz w:val="24"/>
          <w:szCs w:val="24"/>
          <w:lang w:val="sq-AL"/>
        </w:rPr>
      </w:pPr>
      <w:r w:rsidRPr="00EA1CA4">
        <w:rPr>
          <w:rFonts w:ascii="Times New Roman" w:hAnsi="Times New Roman"/>
          <w:color w:val="000000"/>
          <w:sz w:val="24"/>
          <w:szCs w:val="24"/>
          <w:lang w:val="sq-AL"/>
        </w:rPr>
        <w:t>Zhvillimi dhe miratimi i standardeve dhe procedurave operacionale për organizatat e shoqërisë civile për të ofruar gjetjen aktive të rasteve, ndjekjen e trajtimit dhe shërbimet e mbështetjes psiko-sociale për pacientët me TB dhe familjet e tyre</w:t>
      </w:r>
      <w:r w:rsidR="00BF7937" w:rsidRPr="00EA1CA4">
        <w:rPr>
          <w:rFonts w:ascii="Times New Roman" w:hAnsi="Times New Roman"/>
          <w:color w:val="000000"/>
          <w:sz w:val="24"/>
          <w:szCs w:val="24"/>
          <w:lang w:val="sq-AL"/>
        </w:rPr>
        <w:t>;</w:t>
      </w:r>
    </w:p>
    <w:p w:rsidR="00EE23EA" w:rsidRPr="00EA1CA4" w:rsidRDefault="00885C11">
      <w:pPr>
        <w:pStyle w:val="ListParagraph"/>
        <w:numPr>
          <w:ilvl w:val="2"/>
          <w:numId w:val="17"/>
        </w:numPr>
        <w:spacing w:before="120" w:after="120" w:line="276" w:lineRule="auto"/>
        <w:jc w:val="both"/>
        <w:rPr>
          <w:rFonts w:ascii="Times New Roman" w:hAnsi="Times New Roman"/>
          <w:color w:val="000000"/>
          <w:sz w:val="24"/>
          <w:szCs w:val="24"/>
          <w:lang w:val="sq-AL"/>
        </w:rPr>
      </w:pPr>
      <w:r w:rsidRPr="00EA1CA4">
        <w:rPr>
          <w:rFonts w:ascii="Times New Roman" w:hAnsi="Times New Roman"/>
          <w:color w:val="000000"/>
          <w:sz w:val="24"/>
          <w:szCs w:val="24"/>
          <w:lang w:val="sq-AL"/>
        </w:rPr>
        <w:t xml:space="preserve">Sigurimi i </w:t>
      </w:r>
      <w:r w:rsidR="00EE23EA" w:rsidRPr="00EA1CA4">
        <w:rPr>
          <w:rFonts w:ascii="Times New Roman" w:hAnsi="Times New Roman"/>
          <w:color w:val="000000"/>
          <w:sz w:val="24"/>
          <w:szCs w:val="24"/>
          <w:lang w:val="sq-AL"/>
        </w:rPr>
        <w:t>shërbim</w:t>
      </w:r>
      <w:r w:rsidRPr="00EA1CA4">
        <w:rPr>
          <w:rFonts w:ascii="Times New Roman" w:hAnsi="Times New Roman"/>
          <w:color w:val="000000"/>
          <w:sz w:val="24"/>
          <w:szCs w:val="24"/>
          <w:lang w:val="sq-AL"/>
        </w:rPr>
        <w:t>eve të</w:t>
      </w:r>
      <w:r w:rsidR="00EE23EA" w:rsidRPr="00EA1CA4">
        <w:rPr>
          <w:rFonts w:ascii="Times New Roman" w:hAnsi="Times New Roman"/>
          <w:color w:val="000000"/>
          <w:sz w:val="24"/>
          <w:szCs w:val="24"/>
          <w:lang w:val="sq-AL"/>
        </w:rPr>
        <w:t xml:space="preserve"> </w:t>
      </w:r>
      <w:r w:rsidRPr="00EA1CA4">
        <w:rPr>
          <w:rFonts w:ascii="Times New Roman" w:hAnsi="Times New Roman"/>
          <w:color w:val="000000"/>
          <w:sz w:val="24"/>
          <w:szCs w:val="24"/>
          <w:lang w:val="sq-AL"/>
        </w:rPr>
        <w:t>respektimit të</w:t>
      </w:r>
      <w:r w:rsidR="00EE23EA" w:rsidRPr="00EA1CA4">
        <w:rPr>
          <w:rFonts w:ascii="Times New Roman" w:hAnsi="Times New Roman"/>
          <w:color w:val="000000"/>
          <w:sz w:val="24"/>
          <w:szCs w:val="24"/>
          <w:lang w:val="sq-AL"/>
        </w:rPr>
        <w:t xml:space="preserve"> trajtimit për të gjithë pacientët me TB, duke përfshirë pacientët me </w:t>
      </w:r>
      <w:r w:rsidR="002070A5" w:rsidRPr="00EA1CA4">
        <w:rPr>
          <w:rFonts w:ascii="Times New Roman" w:hAnsi="Times New Roman"/>
          <w:color w:val="000000"/>
          <w:sz w:val="24"/>
          <w:szCs w:val="24"/>
          <w:lang w:val="sq-AL"/>
        </w:rPr>
        <w:t>I</w:t>
      </w:r>
      <w:r w:rsidRPr="00EA1CA4">
        <w:rPr>
          <w:rFonts w:ascii="Times New Roman" w:hAnsi="Times New Roman"/>
          <w:color w:val="000000"/>
          <w:sz w:val="24"/>
          <w:szCs w:val="24"/>
          <w:lang w:val="sq-AL"/>
        </w:rPr>
        <w:t>LT</w:t>
      </w:r>
      <w:r w:rsidR="00EE23EA" w:rsidRPr="00EA1CA4">
        <w:rPr>
          <w:rFonts w:ascii="Times New Roman" w:hAnsi="Times New Roman"/>
          <w:color w:val="000000"/>
          <w:sz w:val="24"/>
          <w:szCs w:val="24"/>
          <w:lang w:val="sq-AL"/>
        </w:rPr>
        <w:t>B dhe MRD</w:t>
      </w:r>
      <w:r w:rsidRPr="00EA1CA4">
        <w:rPr>
          <w:rFonts w:ascii="Times New Roman" w:hAnsi="Times New Roman"/>
          <w:color w:val="000000"/>
          <w:sz w:val="24"/>
          <w:szCs w:val="24"/>
          <w:lang w:val="sq-AL"/>
        </w:rPr>
        <w:t>-TB,</w:t>
      </w:r>
      <w:r w:rsidR="00EE23EA" w:rsidRPr="00EA1CA4">
        <w:rPr>
          <w:rFonts w:ascii="Times New Roman" w:hAnsi="Times New Roman"/>
          <w:color w:val="000000"/>
          <w:sz w:val="24"/>
          <w:szCs w:val="24"/>
          <w:lang w:val="sq-AL"/>
        </w:rPr>
        <w:t xml:space="preserve"> duke ofruar edukim e pa</w:t>
      </w:r>
      <w:r w:rsidRPr="00EA1CA4">
        <w:rPr>
          <w:rFonts w:ascii="Times New Roman" w:hAnsi="Times New Roman"/>
          <w:color w:val="000000"/>
          <w:sz w:val="24"/>
          <w:szCs w:val="24"/>
          <w:lang w:val="sq-AL"/>
        </w:rPr>
        <w:t>cientëve dhe këshillimin për t’j</w:t>
      </w:r>
      <w:r w:rsidR="00EE23EA" w:rsidRPr="00EA1CA4">
        <w:rPr>
          <w:rFonts w:ascii="Times New Roman" w:hAnsi="Times New Roman"/>
          <w:color w:val="000000"/>
          <w:sz w:val="24"/>
          <w:szCs w:val="24"/>
          <w:lang w:val="sq-AL"/>
        </w:rPr>
        <w:t>u përmbajtur trajtimit</w:t>
      </w:r>
    </w:p>
    <w:p w:rsidR="00EC3A86" w:rsidRPr="00EA1CA4" w:rsidRDefault="00EE23EA">
      <w:pPr>
        <w:pStyle w:val="ListParagraph"/>
        <w:numPr>
          <w:ilvl w:val="2"/>
          <w:numId w:val="17"/>
        </w:numPr>
        <w:spacing w:before="120" w:after="120" w:line="276" w:lineRule="auto"/>
        <w:jc w:val="both"/>
        <w:rPr>
          <w:rFonts w:ascii="Times New Roman" w:hAnsi="Times New Roman"/>
          <w:color w:val="000000"/>
          <w:sz w:val="24"/>
          <w:szCs w:val="24"/>
          <w:lang w:val="sq-AL"/>
        </w:rPr>
      </w:pPr>
      <w:r w:rsidRPr="00EA1CA4">
        <w:rPr>
          <w:rFonts w:ascii="Times New Roman" w:hAnsi="Times New Roman"/>
          <w:color w:val="000000"/>
          <w:sz w:val="24"/>
          <w:szCs w:val="24"/>
          <w:lang w:val="sq-AL"/>
        </w:rPr>
        <w:t>Zbat</w:t>
      </w:r>
      <w:r w:rsidR="00885C11" w:rsidRPr="00EA1CA4">
        <w:rPr>
          <w:rFonts w:ascii="Times New Roman" w:hAnsi="Times New Roman"/>
          <w:color w:val="000000"/>
          <w:sz w:val="24"/>
          <w:szCs w:val="24"/>
          <w:lang w:val="sq-AL"/>
        </w:rPr>
        <w:t xml:space="preserve">imi i </w:t>
      </w:r>
      <w:r w:rsidRPr="00EA1CA4">
        <w:rPr>
          <w:rFonts w:ascii="Times New Roman" w:hAnsi="Times New Roman"/>
          <w:color w:val="000000"/>
          <w:sz w:val="24"/>
          <w:szCs w:val="24"/>
          <w:lang w:val="sq-AL"/>
        </w:rPr>
        <w:t>mbrojtje</w:t>
      </w:r>
      <w:r w:rsidR="00885C11" w:rsidRPr="00EA1CA4">
        <w:rPr>
          <w:rFonts w:ascii="Times New Roman" w:hAnsi="Times New Roman"/>
          <w:color w:val="000000"/>
          <w:sz w:val="24"/>
          <w:szCs w:val="24"/>
          <w:lang w:val="sq-AL"/>
        </w:rPr>
        <w:t>s</w:t>
      </w:r>
      <w:r w:rsidRPr="00EA1CA4">
        <w:rPr>
          <w:rFonts w:ascii="Times New Roman" w:hAnsi="Times New Roman"/>
          <w:color w:val="000000"/>
          <w:sz w:val="24"/>
          <w:szCs w:val="24"/>
          <w:lang w:val="sq-AL"/>
        </w:rPr>
        <w:t xml:space="preserve"> sociale, zbutje</w:t>
      </w:r>
      <w:r w:rsidR="00885C11" w:rsidRPr="00EA1CA4">
        <w:rPr>
          <w:rFonts w:ascii="Times New Roman" w:hAnsi="Times New Roman"/>
          <w:color w:val="000000"/>
          <w:sz w:val="24"/>
          <w:szCs w:val="24"/>
          <w:lang w:val="sq-AL"/>
        </w:rPr>
        <w:t>s</w:t>
      </w:r>
      <w:r w:rsidRPr="00EA1CA4">
        <w:rPr>
          <w:rFonts w:ascii="Times New Roman" w:hAnsi="Times New Roman"/>
          <w:color w:val="000000"/>
          <w:sz w:val="24"/>
          <w:szCs w:val="24"/>
          <w:lang w:val="sq-AL"/>
        </w:rPr>
        <w:t xml:space="preserve"> </w:t>
      </w:r>
      <w:r w:rsidR="00885C11" w:rsidRPr="00EA1CA4">
        <w:rPr>
          <w:rFonts w:ascii="Times New Roman" w:hAnsi="Times New Roman"/>
          <w:color w:val="000000"/>
          <w:sz w:val="24"/>
          <w:szCs w:val="24"/>
          <w:lang w:val="sq-AL"/>
        </w:rPr>
        <w:t>së</w:t>
      </w:r>
      <w:r w:rsidRPr="00EA1CA4">
        <w:rPr>
          <w:rFonts w:ascii="Times New Roman" w:hAnsi="Times New Roman"/>
          <w:color w:val="000000"/>
          <w:sz w:val="24"/>
          <w:szCs w:val="24"/>
          <w:lang w:val="sq-AL"/>
        </w:rPr>
        <w:t xml:space="preserve"> varfërisë dhe veprime</w:t>
      </w:r>
      <w:r w:rsidR="00885C11" w:rsidRPr="00EA1CA4">
        <w:rPr>
          <w:rFonts w:ascii="Times New Roman" w:hAnsi="Times New Roman"/>
          <w:color w:val="000000"/>
          <w:sz w:val="24"/>
          <w:szCs w:val="24"/>
          <w:lang w:val="sq-AL"/>
        </w:rPr>
        <w:t>ve</w:t>
      </w:r>
      <w:r w:rsidRPr="00EA1CA4">
        <w:rPr>
          <w:rFonts w:ascii="Times New Roman" w:hAnsi="Times New Roman"/>
          <w:color w:val="000000"/>
          <w:sz w:val="24"/>
          <w:szCs w:val="24"/>
          <w:lang w:val="sq-AL"/>
        </w:rPr>
        <w:t xml:space="preserve"> të tjera për të adresuar përcaktuesit socialë të tuberkulozit</w:t>
      </w:r>
    </w:p>
    <w:p w:rsidR="00EC3A86" w:rsidRPr="00EA1CA4" w:rsidRDefault="00EE23EA" w:rsidP="00624E04">
      <w:pPr>
        <w:spacing w:line="276" w:lineRule="auto"/>
        <w:jc w:val="both"/>
        <w:rPr>
          <w:b/>
        </w:rPr>
      </w:pPr>
      <w:r w:rsidRPr="00EA1CA4">
        <w:rPr>
          <w:b/>
        </w:rPr>
        <w:t>Rezultati 4.3 Rrjetëzimi dhe avokimi i komunitetit</w:t>
      </w:r>
    </w:p>
    <w:p w:rsidR="003531D1" w:rsidRPr="00EA1CA4" w:rsidRDefault="003531D1" w:rsidP="00624E04">
      <w:pPr>
        <w:spacing w:line="276" w:lineRule="auto"/>
        <w:jc w:val="both"/>
        <w:rPr>
          <w:b/>
          <w:i/>
          <w:lang w:eastAsia="en-US"/>
        </w:rPr>
      </w:pPr>
    </w:p>
    <w:p w:rsidR="00EC3A86" w:rsidRPr="00EA1CA4" w:rsidRDefault="00EE23EA" w:rsidP="00624E04">
      <w:pPr>
        <w:spacing w:line="276" w:lineRule="auto"/>
        <w:jc w:val="both"/>
        <w:rPr>
          <w:b/>
          <w:i/>
          <w:lang w:eastAsia="en-US"/>
        </w:rPr>
      </w:pPr>
      <w:r w:rsidRPr="00EA1CA4">
        <w:rPr>
          <w:b/>
          <w:i/>
          <w:lang w:eastAsia="en-US"/>
        </w:rPr>
        <w:t>Aktivitetet e planifikuara</w:t>
      </w:r>
    </w:p>
    <w:p w:rsidR="00EC3A86" w:rsidRPr="00EA1CA4" w:rsidRDefault="00C95C17">
      <w:pPr>
        <w:pStyle w:val="ListParagraph"/>
        <w:numPr>
          <w:ilvl w:val="2"/>
          <w:numId w:val="18"/>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Krij</w:t>
      </w:r>
      <w:r w:rsidR="00885C11" w:rsidRPr="00EA1CA4">
        <w:rPr>
          <w:rFonts w:ascii="Times New Roman" w:hAnsi="Times New Roman"/>
          <w:sz w:val="24"/>
          <w:szCs w:val="24"/>
          <w:lang w:val="sq-AL"/>
        </w:rPr>
        <w:t xml:space="preserve">imi i </w:t>
      </w:r>
      <w:r w:rsidRPr="00EA1CA4">
        <w:rPr>
          <w:rFonts w:ascii="Times New Roman" w:hAnsi="Times New Roman"/>
          <w:sz w:val="24"/>
          <w:szCs w:val="24"/>
          <w:lang w:val="sq-AL"/>
        </w:rPr>
        <w:t>rrjete</w:t>
      </w:r>
      <w:r w:rsidR="00885C11" w:rsidRPr="00EA1CA4">
        <w:rPr>
          <w:rFonts w:ascii="Times New Roman" w:hAnsi="Times New Roman"/>
          <w:sz w:val="24"/>
          <w:szCs w:val="24"/>
          <w:lang w:val="sq-AL"/>
        </w:rPr>
        <w:t>ve</w:t>
      </w:r>
      <w:r w:rsidRPr="00EA1CA4">
        <w:rPr>
          <w:rFonts w:ascii="Times New Roman" w:hAnsi="Times New Roman"/>
          <w:sz w:val="24"/>
          <w:szCs w:val="24"/>
          <w:lang w:val="sq-AL"/>
        </w:rPr>
        <w:t xml:space="preserve"> funksionale komunitare, lidhje</w:t>
      </w:r>
      <w:r w:rsidR="00885C11" w:rsidRPr="00EA1CA4">
        <w:rPr>
          <w:rFonts w:ascii="Times New Roman" w:hAnsi="Times New Roman"/>
          <w:sz w:val="24"/>
          <w:szCs w:val="24"/>
          <w:lang w:val="sq-AL"/>
        </w:rPr>
        <w:t>ve</w:t>
      </w:r>
      <w:r w:rsidRPr="00EA1CA4">
        <w:rPr>
          <w:rFonts w:ascii="Times New Roman" w:hAnsi="Times New Roman"/>
          <w:sz w:val="24"/>
          <w:szCs w:val="24"/>
          <w:lang w:val="sq-AL"/>
        </w:rPr>
        <w:t xml:space="preserve"> dhe partneritete</w:t>
      </w:r>
      <w:r w:rsidR="00885C11" w:rsidRPr="00EA1CA4">
        <w:rPr>
          <w:rFonts w:ascii="Times New Roman" w:hAnsi="Times New Roman"/>
          <w:sz w:val="24"/>
          <w:szCs w:val="24"/>
          <w:lang w:val="sq-AL"/>
        </w:rPr>
        <w:t>ve</w:t>
      </w:r>
      <w:r w:rsidRPr="00EA1CA4">
        <w:rPr>
          <w:rFonts w:ascii="Times New Roman" w:hAnsi="Times New Roman"/>
          <w:sz w:val="24"/>
          <w:szCs w:val="24"/>
          <w:lang w:val="sq-AL"/>
        </w:rPr>
        <w:t xml:space="preserve"> </w:t>
      </w:r>
      <w:r w:rsidR="00885C11" w:rsidRPr="00EA1CA4">
        <w:rPr>
          <w:rFonts w:ascii="Times New Roman" w:hAnsi="Times New Roman"/>
          <w:sz w:val="24"/>
          <w:szCs w:val="24"/>
          <w:lang w:val="sq-AL"/>
        </w:rPr>
        <w:t xml:space="preserve">midis </w:t>
      </w:r>
      <w:r w:rsidRPr="00EA1CA4">
        <w:rPr>
          <w:rFonts w:ascii="Times New Roman" w:hAnsi="Times New Roman"/>
          <w:sz w:val="24"/>
          <w:szCs w:val="24"/>
          <w:lang w:val="sq-AL"/>
        </w:rPr>
        <w:t>akt</w:t>
      </w:r>
      <w:r w:rsidR="00885C11" w:rsidRPr="00EA1CA4">
        <w:rPr>
          <w:rFonts w:ascii="Times New Roman" w:hAnsi="Times New Roman"/>
          <w:sz w:val="24"/>
          <w:szCs w:val="24"/>
          <w:lang w:val="sq-AL"/>
        </w:rPr>
        <w:t>e</w:t>
      </w:r>
      <w:r w:rsidRPr="00EA1CA4">
        <w:rPr>
          <w:rFonts w:ascii="Times New Roman" w:hAnsi="Times New Roman"/>
          <w:sz w:val="24"/>
          <w:szCs w:val="24"/>
          <w:lang w:val="sq-AL"/>
        </w:rPr>
        <w:t xml:space="preserve">rëve të komunitetit </w:t>
      </w:r>
      <w:r w:rsidR="00885C11" w:rsidRPr="00EA1CA4">
        <w:rPr>
          <w:rFonts w:ascii="Times New Roman" w:hAnsi="Times New Roman"/>
          <w:sz w:val="24"/>
          <w:szCs w:val="24"/>
          <w:lang w:val="sq-AL"/>
        </w:rPr>
        <w:t xml:space="preserve">me </w:t>
      </w:r>
      <w:r w:rsidRPr="00EA1CA4">
        <w:rPr>
          <w:rFonts w:ascii="Times New Roman" w:hAnsi="Times New Roman"/>
          <w:sz w:val="24"/>
          <w:szCs w:val="24"/>
          <w:lang w:val="sq-AL"/>
        </w:rPr>
        <w:t>HIV dhe TB</w:t>
      </w:r>
    </w:p>
    <w:p w:rsidR="00BF7937" w:rsidRPr="00EA1CA4" w:rsidRDefault="00C95C17">
      <w:pPr>
        <w:pStyle w:val="ListParagraph"/>
        <w:numPr>
          <w:ilvl w:val="2"/>
          <w:numId w:val="18"/>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Zbat</w:t>
      </w:r>
      <w:r w:rsidR="00885C11" w:rsidRPr="00EA1CA4">
        <w:rPr>
          <w:rFonts w:ascii="Times New Roman" w:hAnsi="Times New Roman"/>
          <w:sz w:val="24"/>
          <w:szCs w:val="24"/>
          <w:lang w:val="sq-AL"/>
        </w:rPr>
        <w:t xml:space="preserve">imi i </w:t>
      </w:r>
      <w:r w:rsidRPr="00EA1CA4">
        <w:rPr>
          <w:rFonts w:ascii="Times New Roman" w:hAnsi="Times New Roman"/>
          <w:sz w:val="24"/>
          <w:szCs w:val="24"/>
          <w:lang w:val="sq-AL"/>
        </w:rPr>
        <w:t>aktivitete</w:t>
      </w:r>
      <w:r w:rsidR="00885C11" w:rsidRPr="00EA1CA4">
        <w:rPr>
          <w:rFonts w:ascii="Times New Roman" w:hAnsi="Times New Roman"/>
          <w:sz w:val="24"/>
          <w:szCs w:val="24"/>
          <w:lang w:val="sq-AL"/>
        </w:rPr>
        <w:t>ve</w:t>
      </w:r>
      <w:r w:rsidRPr="00EA1CA4">
        <w:rPr>
          <w:rFonts w:ascii="Times New Roman" w:hAnsi="Times New Roman"/>
          <w:sz w:val="24"/>
          <w:szCs w:val="24"/>
          <w:lang w:val="sq-AL"/>
        </w:rPr>
        <w:t xml:space="preserve"> të monitorimit të udhëhequr nga komuniteti për shërbimet e TB</w:t>
      </w:r>
      <w:r w:rsidR="00BF7937" w:rsidRPr="00EA1CA4">
        <w:rPr>
          <w:rFonts w:ascii="Times New Roman" w:hAnsi="Times New Roman"/>
          <w:sz w:val="24"/>
          <w:szCs w:val="24"/>
          <w:lang w:val="sq-AL"/>
        </w:rPr>
        <w:t>;</w:t>
      </w:r>
    </w:p>
    <w:p w:rsidR="00C95C17" w:rsidRPr="00EA1CA4" w:rsidRDefault="00C95C17">
      <w:pPr>
        <w:pStyle w:val="ListParagraph"/>
        <w:numPr>
          <w:ilvl w:val="2"/>
          <w:numId w:val="18"/>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Zbat</w:t>
      </w:r>
      <w:r w:rsidR="00885C11" w:rsidRPr="00EA1CA4">
        <w:rPr>
          <w:rFonts w:ascii="Times New Roman" w:hAnsi="Times New Roman"/>
          <w:sz w:val="24"/>
          <w:szCs w:val="24"/>
          <w:lang w:val="sq-AL"/>
        </w:rPr>
        <w:t xml:space="preserve">imi i </w:t>
      </w:r>
      <w:r w:rsidRPr="00EA1CA4">
        <w:rPr>
          <w:rFonts w:ascii="Times New Roman" w:hAnsi="Times New Roman"/>
          <w:sz w:val="24"/>
          <w:szCs w:val="24"/>
          <w:lang w:val="sq-AL"/>
        </w:rPr>
        <w:t>aktivitete</w:t>
      </w:r>
      <w:r w:rsidR="00885C11" w:rsidRPr="00EA1CA4">
        <w:rPr>
          <w:rFonts w:ascii="Times New Roman" w:hAnsi="Times New Roman"/>
          <w:sz w:val="24"/>
          <w:szCs w:val="24"/>
          <w:lang w:val="sq-AL"/>
        </w:rPr>
        <w:t>ve</w:t>
      </w:r>
      <w:r w:rsidRPr="00EA1CA4">
        <w:rPr>
          <w:rFonts w:ascii="Times New Roman" w:hAnsi="Times New Roman"/>
          <w:sz w:val="24"/>
          <w:szCs w:val="24"/>
          <w:lang w:val="sq-AL"/>
        </w:rPr>
        <w:t xml:space="preserve"> avokuese për të ndikuar në proceset e reformës shëndetësore në nivel </w:t>
      </w:r>
      <w:r w:rsidR="00885C11" w:rsidRPr="00EA1CA4">
        <w:rPr>
          <w:rFonts w:ascii="Times New Roman" w:hAnsi="Times New Roman"/>
          <w:sz w:val="24"/>
          <w:szCs w:val="24"/>
          <w:lang w:val="sq-AL"/>
        </w:rPr>
        <w:t xml:space="preserve">të </w:t>
      </w:r>
      <w:r w:rsidRPr="00EA1CA4">
        <w:rPr>
          <w:rFonts w:ascii="Times New Roman" w:hAnsi="Times New Roman"/>
          <w:sz w:val="24"/>
          <w:szCs w:val="24"/>
          <w:lang w:val="sq-AL"/>
        </w:rPr>
        <w:t>MSH</w:t>
      </w:r>
      <w:r w:rsidR="00885C11" w:rsidRPr="00EA1CA4">
        <w:rPr>
          <w:rFonts w:ascii="Times New Roman" w:hAnsi="Times New Roman"/>
          <w:sz w:val="24"/>
          <w:szCs w:val="24"/>
          <w:lang w:val="sq-AL"/>
        </w:rPr>
        <w:t>-së</w:t>
      </w:r>
    </w:p>
    <w:p w:rsidR="00EC3A86" w:rsidRPr="00EA1CA4" w:rsidRDefault="00C95C17">
      <w:pPr>
        <w:pStyle w:val="ListParagraph"/>
        <w:numPr>
          <w:ilvl w:val="2"/>
          <w:numId w:val="18"/>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Sigur</w:t>
      </w:r>
      <w:r w:rsidR="00885C11" w:rsidRPr="00EA1CA4">
        <w:rPr>
          <w:rFonts w:ascii="Times New Roman" w:hAnsi="Times New Roman"/>
          <w:sz w:val="24"/>
          <w:szCs w:val="24"/>
          <w:lang w:val="sq-AL"/>
        </w:rPr>
        <w:t xml:space="preserve">imi i </w:t>
      </w:r>
      <w:r w:rsidRPr="00EA1CA4">
        <w:rPr>
          <w:rFonts w:ascii="Times New Roman" w:hAnsi="Times New Roman"/>
          <w:sz w:val="24"/>
          <w:szCs w:val="24"/>
          <w:lang w:val="sq-AL"/>
        </w:rPr>
        <w:t>angazhimi</w:t>
      </w:r>
      <w:r w:rsidR="00885C11" w:rsidRPr="00EA1CA4">
        <w:rPr>
          <w:rFonts w:ascii="Times New Roman" w:hAnsi="Times New Roman"/>
          <w:sz w:val="24"/>
          <w:szCs w:val="24"/>
          <w:lang w:val="sq-AL"/>
        </w:rPr>
        <w:t>t</w:t>
      </w:r>
      <w:r w:rsidRPr="00EA1CA4">
        <w:rPr>
          <w:rFonts w:ascii="Times New Roman" w:hAnsi="Times New Roman"/>
          <w:sz w:val="24"/>
          <w:szCs w:val="24"/>
          <w:lang w:val="sq-AL"/>
        </w:rPr>
        <w:t xml:space="preserve"> aktiv të palëve të interesuara të PKT</w:t>
      </w:r>
      <w:r w:rsidR="008A727A" w:rsidRPr="00EA1CA4">
        <w:rPr>
          <w:rFonts w:ascii="Times New Roman" w:hAnsi="Times New Roman"/>
          <w:sz w:val="24"/>
          <w:szCs w:val="24"/>
          <w:lang w:val="sq-AL"/>
        </w:rPr>
        <w:t>B</w:t>
      </w:r>
      <w:r w:rsidRPr="00EA1CA4">
        <w:rPr>
          <w:rFonts w:ascii="Times New Roman" w:hAnsi="Times New Roman"/>
          <w:sz w:val="24"/>
          <w:szCs w:val="24"/>
          <w:lang w:val="sq-AL"/>
        </w:rPr>
        <w:t xml:space="preserve">-së, përfshirë shoqërinë civile </w:t>
      </w:r>
      <w:r w:rsidRPr="00EA1CA4">
        <w:rPr>
          <w:rFonts w:ascii="Times New Roman" w:hAnsi="Times New Roman"/>
          <w:sz w:val="24"/>
          <w:szCs w:val="24"/>
          <w:lang w:val="sq-AL"/>
        </w:rPr>
        <w:lastRenderedPageBreak/>
        <w:t xml:space="preserve">në dialogun e politikave kombëtare </w:t>
      </w:r>
      <w:r w:rsidR="00885C11" w:rsidRPr="00EA1CA4">
        <w:rPr>
          <w:rFonts w:ascii="Times New Roman" w:hAnsi="Times New Roman"/>
          <w:sz w:val="24"/>
          <w:szCs w:val="24"/>
          <w:lang w:val="sq-AL"/>
        </w:rPr>
        <w:t xml:space="preserve">në </w:t>
      </w:r>
      <w:r w:rsidRPr="00EA1CA4">
        <w:rPr>
          <w:rFonts w:ascii="Times New Roman" w:hAnsi="Times New Roman"/>
          <w:sz w:val="24"/>
          <w:szCs w:val="24"/>
          <w:lang w:val="sq-AL"/>
        </w:rPr>
        <w:t>lidhje me sigurimin shëndetësor, ndryshimet në ligjet e sistemit shëndetësor, etj</w:t>
      </w:r>
      <w:r w:rsidR="00EC3A86" w:rsidRPr="00EA1CA4">
        <w:rPr>
          <w:rFonts w:ascii="Times New Roman" w:hAnsi="Times New Roman"/>
          <w:sz w:val="24"/>
          <w:szCs w:val="24"/>
          <w:lang w:val="sq-AL"/>
        </w:rPr>
        <w:t>.</w:t>
      </w:r>
    </w:p>
    <w:p w:rsidR="00EC3A86" w:rsidRPr="00EA1CA4" w:rsidRDefault="00C95C17">
      <w:pPr>
        <w:pStyle w:val="ListParagraph"/>
        <w:numPr>
          <w:ilvl w:val="2"/>
          <w:numId w:val="18"/>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Përgatit</w:t>
      </w:r>
      <w:r w:rsidR="00885C11" w:rsidRPr="00EA1CA4">
        <w:rPr>
          <w:rFonts w:ascii="Times New Roman" w:hAnsi="Times New Roman"/>
          <w:sz w:val="24"/>
          <w:szCs w:val="24"/>
          <w:lang w:val="sq-AL"/>
        </w:rPr>
        <w:t xml:space="preserve">ja e </w:t>
      </w:r>
      <w:r w:rsidRPr="00EA1CA4">
        <w:rPr>
          <w:rFonts w:ascii="Times New Roman" w:hAnsi="Times New Roman"/>
          <w:sz w:val="24"/>
          <w:szCs w:val="24"/>
          <w:lang w:val="sq-AL"/>
        </w:rPr>
        <w:t>përmbledhje</w:t>
      </w:r>
      <w:r w:rsidR="00885C11" w:rsidRPr="00EA1CA4">
        <w:rPr>
          <w:rFonts w:ascii="Times New Roman" w:hAnsi="Times New Roman"/>
          <w:sz w:val="24"/>
          <w:szCs w:val="24"/>
          <w:lang w:val="sq-AL"/>
        </w:rPr>
        <w:t>s</w:t>
      </w:r>
      <w:r w:rsidRPr="00EA1CA4">
        <w:rPr>
          <w:rFonts w:ascii="Times New Roman" w:hAnsi="Times New Roman"/>
          <w:sz w:val="24"/>
          <w:szCs w:val="24"/>
          <w:lang w:val="sq-AL"/>
        </w:rPr>
        <w:t xml:space="preserve"> </w:t>
      </w:r>
      <w:r w:rsidR="00885C11" w:rsidRPr="00EA1CA4">
        <w:rPr>
          <w:rFonts w:ascii="Times New Roman" w:hAnsi="Times New Roman"/>
          <w:sz w:val="24"/>
          <w:szCs w:val="24"/>
          <w:lang w:val="sq-AL"/>
        </w:rPr>
        <w:t xml:space="preserve">së </w:t>
      </w:r>
      <w:r w:rsidRPr="00EA1CA4">
        <w:rPr>
          <w:rFonts w:ascii="Times New Roman" w:hAnsi="Times New Roman"/>
          <w:sz w:val="24"/>
          <w:szCs w:val="24"/>
          <w:lang w:val="sq-AL"/>
        </w:rPr>
        <w:t>politika</w:t>
      </w:r>
      <w:r w:rsidR="00885C11" w:rsidRPr="00EA1CA4">
        <w:rPr>
          <w:rFonts w:ascii="Times New Roman" w:hAnsi="Times New Roman"/>
          <w:sz w:val="24"/>
          <w:szCs w:val="24"/>
          <w:lang w:val="sq-AL"/>
        </w:rPr>
        <w:t xml:space="preserve">ve </w:t>
      </w:r>
      <w:r w:rsidRPr="00EA1CA4">
        <w:rPr>
          <w:rFonts w:ascii="Times New Roman" w:hAnsi="Times New Roman"/>
          <w:sz w:val="24"/>
          <w:szCs w:val="24"/>
          <w:lang w:val="sq-AL"/>
        </w:rPr>
        <w:t>dhe instrumente</w:t>
      </w:r>
      <w:r w:rsidR="00885C11" w:rsidRPr="00EA1CA4">
        <w:rPr>
          <w:rFonts w:ascii="Times New Roman" w:hAnsi="Times New Roman"/>
          <w:sz w:val="24"/>
          <w:szCs w:val="24"/>
          <w:lang w:val="sq-AL"/>
        </w:rPr>
        <w:t>ve</w:t>
      </w:r>
      <w:r w:rsidRPr="00EA1CA4">
        <w:rPr>
          <w:rFonts w:ascii="Times New Roman" w:hAnsi="Times New Roman"/>
          <w:sz w:val="24"/>
          <w:szCs w:val="24"/>
          <w:lang w:val="sq-AL"/>
        </w:rPr>
        <w:t xml:space="preserve"> të tjera avokuese të bazuara në prova</w:t>
      </w:r>
      <w:r w:rsidR="00885C11" w:rsidRPr="00EA1CA4">
        <w:rPr>
          <w:rFonts w:ascii="Times New Roman" w:hAnsi="Times New Roman"/>
          <w:sz w:val="24"/>
          <w:szCs w:val="24"/>
          <w:lang w:val="sq-AL"/>
        </w:rPr>
        <w:t>,</w:t>
      </w:r>
      <w:r w:rsidRPr="00EA1CA4">
        <w:rPr>
          <w:rFonts w:ascii="Times New Roman" w:hAnsi="Times New Roman"/>
          <w:sz w:val="24"/>
          <w:szCs w:val="24"/>
          <w:lang w:val="sq-AL"/>
        </w:rPr>
        <w:t xml:space="preserve"> që shqyrtojnë madhësinë e barrierave të shërbimit të kujdesit shëndetësor për popullatën e pa</w:t>
      </w:r>
      <w:r w:rsidR="00885C11" w:rsidRPr="00EA1CA4">
        <w:rPr>
          <w:rFonts w:ascii="Times New Roman" w:hAnsi="Times New Roman"/>
          <w:sz w:val="24"/>
          <w:szCs w:val="24"/>
          <w:lang w:val="sq-AL"/>
        </w:rPr>
        <w:t xml:space="preserve"> </w:t>
      </w:r>
      <w:r w:rsidRPr="00EA1CA4">
        <w:rPr>
          <w:rFonts w:ascii="Times New Roman" w:hAnsi="Times New Roman"/>
          <w:sz w:val="24"/>
          <w:szCs w:val="24"/>
          <w:lang w:val="sq-AL"/>
        </w:rPr>
        <w:t>shërbyer</w:t>
      </w:r>
      <w:r w:rsidR="00885C11" w:rsidRPr="00EA1CA4">
        <w:rPr>
          <w:rFonts w:ascii="Times New Roman" w:hAnsi="Times New Roman"/>
          <w:sz w:val="24"/>
          <w:szCs w:val="24"/>
          <w:lang w:val="sq-AL"/>
        </w:rPr>
        <w:t>,</w:t>
      </w:r>
      <w:r w:rsidRPr="00EA1CA4">
        <w:rPr>
          <w:rFonts w:ascii="Times New Roman" w:hAnsi="Times New Roman"/>
          <w:sz w:val="24"/>
          <w:szCs w:val="24"/>
          <w:lang w:val="sq-AL"/>
        </w:rPr>
        <w:t xml:space="preserve"> dhe ndikimin e saj të mundshëm në epideminë e TB</w:t>
      </w:r>
      <w:r w:rsidR="00EC3A86" w:rsidRPr="00EA1CA4">
        <w:rPr>
          <w:rFonts w:ascii="Times New Roman" w:hAnsi="Times New Roman"/>
          <w:sz w:val="24"/>
          <w:szCs w:val="24"/>
          <w:lang w:val="sq-AL"/>
        </w:rPr>
        <w:t xml:space="preserve">. </w:t>
      </w:r>
    </w:p>
    <w:p w:rsidR="003531D1" w:rsidRPr="00EA1CA4" w:rsidRDefault="003531D1" w:rsidP="00624E04">
      <w:pPr>
        <w:spacing w:line="276" w:lineRule="auto"/>
        <w:jc w:val="both"/>
        <w:rPr>
          <w:color w:val="2E74B5"/>
          <w:lang w:eastAsia="en-US"/>
        </w:rPr>
      </w:pPr>
      <w:bookmarkStart w:id="33" w:name="_Toc93005262"/>
    </w:p>
    <w:p w:rsidR="00C95C17" w:rsidRPr="00EA1CA4" w:rsidRDefault="00BC7956" w:rsidP="00DA78D3">
      <w:pPr>
        <w:rPr>
          <w:b/>
          <w:lang w:eastAsia="en-US"/>
        </w:rPr>
      </w:pPr>
      <w:r w:rsidRPr="00EA1CA4">
        <w:rPr>
          <w:b/>
          <w:lang w:eastAsia="en-US"/>
        </w:rPr>
        <w:t xml:space="preserve">Objektivi specifik </w:t>
      </w:r>
      <w:r w:rsidR="00C95C17" w:rsidRPr="00EA1CA4">
        <w:rPr>
          <w:b/>
          <w:lang w:eastAsia="en-US"/>
        </w:rPr>
        <w:t>5: Kërkime dhe inovacione të intensifikuara</w:t>
      </w:r>
    </w:p>
    <w:bookmarkEnd w:id="33"/>
    <w:p w:rsidR="003531D1" w:rsidRPr="00EA1CA4" w:rsidRDefault="003531D1" w:rsidP="00624E04">
      <w:pPr>
        <w:spacing w:line="276" w:lineRule="auto"/>
        <w:jc w:val="both"/>
        <w:rPr>
          <w:b/>
        </w:rPr>
      </w:pPr>
    </w:p>
    <w:p w:rsidR="00C95C17" w:rsidRPr="00EA1CA4" w:rsidRDefault="00C95C17" w:rsidP="00624E04">
      <w:pPr>
        <w:spacing w:line="276" w:lineRule="auto"/>
        <w:jc w:val="both"/>
        <w:rPr>
          <w:b/>
        </w:rPr>
      </w:pPr>
      <w:r w:rsidRPr="00EA1CA4">
        <w:rPr>
          <w:b/>
        </w:rPr>
        <w:t>Rezultati 5.1: Hulumtimi i intensifikuar për të optimizuar zbatimin dhe ndikimin e programit të TB dhe promovimin e inovacioneve</w:t>
      </w:r>
    </w:p>
    <w:p w:rsidR="003531D1" w:rsidRPr="00EA1CA4" w:rsidRDefault="003531D1" w:rsidP="00624E04">
      <w:pPr>
        <w:spacing w:line="276" w:lineRule="auto"/>
        <w:jc w:val="both"/>
        <w:rPr>
          <w:b/>
          <w:i/>
        </w:rPr>
      </w:pPr>
    </w:p>
    <w:p w:rsidR="00737C94" w:rsidRPr="00EA1CA4" w:rsidRDefault="00C95C17" w:rsidP="00624E04">
      <w:pPr>
        <w:spacing w:line="276" w:lineRule="auto"/>
        <w:jc w:val="both"/>
        <w:rPr>
          <w:b/>
          <w:i/>
        </w:rPr>
      </w:pPr>
      <w:r w:rsidRPr="00EA1CA4">
        <w:rPr>
          <w:b/>
          <w:i/>
        </w:rPr>
        <w:t>Aktivitetet e planifikuara</w:t>
      </w:r>
      <w:r w:rsidR="00737C94" w:rsidRPr="00EA1CA4">
        <w:rPr>
          <w:b/>
          <w:i/>
        </w:rPr>
        <w:t xml:space="preserve">: </w:t>
      </w:r>
    </w:p>
    <w:p w:rsidR="00C95C17" w:rsidRPr="00EA1CA4" w:rsidRDefault="009D510E">
      <w:pPr>
        <w:pStyle w:val="ListParagraph"/>
        <w:numPr>
          <w:ilvl w:val="2"/>
          <w:numId w:val="19"/>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Zhvillimi i </w:t>
      </w:r>
      <w:r w:rsidR="00C95C17" w:rsidRPr="00EA1CA4">
        <w:rPr>
          <w:rFonts w:ascii="Times New Roman" w:hAnsi="Times New Roman"/>
          <w:sz w:val="24"/>
          <w:szCs w:val="24"/>
          <w:lang w:val="sq-AL"/>
        </w:rPr>
        <w:t>ekzaminimi</w:t>
      </w:r>
      <w:r w:rsidRPr="00EA1CA4">
        <w:rPr>
          <w:rFonts w:ascii="Times New Roman" w:hAnsi="Times New Roman"/>
          <w:sz w:val="24"/>
          <w:szCs w:val="24"/>
          <w:lang w:val="sq-AL"/>
        </w:rPr>
        <w:t>t</w:t>
      </w:r>
      <w:r w:rsidR="00C95C17" w:rsidRPr="00EA1CA4">
        <w:rPr>
          <w:rFonts w:ascii="Times New Roman" w:hAnsi="Times New Roman"/>
          <w:sz w:val="24"/>
          <w:szCs w:val="24"/>
          <w:lang w:val="sq-AL"/>
        </w:rPr>
        <w:t xml:space="preserve"> </w:t>
      </w:r>
      <w:r w:rsidRPr="00EA1CA4">
        <w:rPr>
          <w:rFonts w:ascii="Times New Roman" w:hAnsi="Times New Roman"/>
          <w:sz w:val="24"/>
          <w:szCs w:val="24"/>
          <w:lang w:val="sq-AL"/>
        </w:rPr>
        <w:t>t</w:t>
      </w:r>
      <w:r w:rsidR="00C95C17" w:rsidRPr="00EA1CA4">
        <w:rPr>
          <w:rFonts w:ascii="Times New Roman" w:hAnsi="Times New Roman"/>
          <w:sz w:val="24"/>
          <w:szCs w:val="24"/>
          <w:lang w:val="sq-AL"/>
        </w:rPr>
        <w:t>ë TB</w:t>
      </w:r>
      <w:r w:rsidRPr="00EA1CA4">
        <w:rPr>
          <w:rFonts w:ascii="Times New Roman" w:hAnsi="Times New Roman"/>
          <w:sz w:val="24"/>
          <w:szCs w:val="24"/>
          <w:lang w:val="sq-AL"/>
        </w:rPr>
        <w:t>-së</w:t>
      </w:r>
      <w:r w:rsidR="00C95C17" w:rsidRPr="00EA1CA4">
        <w:rPr>
          <w:rFonts w:ascii="Times New Roman" w:hAnsi="Times New Roman"/>
          <w:sz w:val="24"/>
          <w:szCs w:val="24"/>
          <w:lang w:val="sq-AL"/>
        </w:rPr>
        <w:t xml:space="preserve"> </w:t>
      </w:r>
      <w:r w:rsidRPr="00EA1CA4">
        <w:rPr>
          <w:rFonts w:ascii="Times New Roman" w:hAnsi="Times New Roman"/>
          <w:sz w:val="24"/>
          <w:szCs w:val="24"/>
          <w:lang w:val="sq-AL"/>
        </w:rPr>
        <w:t>në mesin e PKSH</w:t>
      </w:r>
      <w:r w:rsidR="00C95C17" w:rsidRPr="00EA1CA4">
        <w:rPr>
          <w:rFonts w:ascii="Times New Roman" w:hAnsi="Times New Roman"/>
          <w:sz w:val="24"/>
          <w:szCs w:val="24"/>
          <w:lang w:val="sq-AL"/>
        </w:rPr>
        <w:t>-ve për të matur zbatimin e masave të kontrollit të infeksionit brenda sistemit të kujdesit shëndetësor</w:t>
      </w:r>
    </w:p>
    <w:p w:rsidR="00C95C17" w:rsidRPr="00EA1CA4" w:rsidRDefault="009D510E">
      <w:pPr>
        <w:pStyle w:val="ListParagraph"/>
        <w:numPr>
          <w:ilvl w:val="2"/>
          <w:numId w:val="19"/>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Zhvillimi i </w:t>
      </w:r>
      <w:r w:rsidR="00C95C17" w:rsidRPr="00EA1CA4">
        <w:rPr>
          <w:rFonts w:ascii="Times New Roman" w:hAnsi="Times New Roman"/>
          <w:sz w:val="24"/>
          <w:szCs w:val="24"/>
          <w:lang w:val="sq-AL"/>
        </w:rPr>
        <w:t xml:space="preserve">studimit të cenueshmërisë së TB të popullatave më të cenueshme dhe pakicave etnike, duke përfshirë </w:t>
      </w:r>
      <w:r w:rsidRPr="00EA1CA4">
        <w:rPr>
          <w:rFonts w:ascii="Times New Roman" w:hAnsi="Times New Roman"/>
          <w:sz w:val="24"/>
          <w:szCs w:val="24"/>
          <w:lang w:val="sq-AL"/>
        </w:rPr>
        <w:t xml:space="preserve">komunitetet </w:t>
      </w:r>
      <w:r w:rsidR="00C95C17" w:rsidRPr="00EA1CA4">
        <w:rPr>
          <w:rFonts w:ascii="Times New Roman" w:hAnsi="Times New Roman"/>
          <w:sz w:val="24"/>
          <w:szCs w:val="24"/>
          <w:lang w:val="sq-AL"/>
        </w:rPr>
        <w:t xml:space="preserve">RAE dhe </w:t>
      </w:r>
      <w:r w:rsidRPr="00EA1CA4">
        <w:rPr>
          <w:rFonts w:ascii="Times New Roman" w:hAnsi="Times New Roman"/>
          <w:sz w:val="24"/>
          <w:szCs w:val="24"/>
          <w:lang w:val="sq-AL"/>
        </w:rPr>
        <w:t>të</w:t>
      </w:r>
      <w:r w:rsidR="00C95C17" w:rsidRPr="00EA1CA4">
        <w:rPr>
          <w:rFonts w:ascii="Times New Roman" w:hAnsi="Times New Roman"/>
          <w:sz w:val="24"/>
          <w:szCs w:val="24"/>
          <w:lang w:val="sq-AL"/>
        </w:rPr>
        <w:t xml:space="preserve"> migrantëve</w:t>
      </w:r>
      <w:r w:rsidRPr="00EA1CA4">
        <w:rPr>
          <w:rFonts w:ascii="Times New Roman" w:hAnsi="Times New Roman"/>
          <w:sz w:val="24"/>
          <w:szCs w:val="24"/>
          <w:lang w:val="sq-AL"/>
        </w:rPr>
        <w:t>,</w:t>
      </w:r>
      <w:r w:rsidR="00C95C17" w:rsidRPr="00EA1CA4">
        <w:rPr>
          <w:rFonts w:ascii="Times New Roman" w:hAnsi="Times New Roman"/>
          <w:sz w:val="24"/>
          <w:szCs w:val="24"/>
          <w:lang w:val="sq-AL"/>
        </w:rPr>
        <w:t xml:space="preserve"> dhe vlerës</w:t>
      </w:r>
      <w:r w:rsidRPr="00EA1CA4">
        <w:rPr>
          <w:rFonts w:ascii="Times New Roman" w:hAnsi="Times New Roman"/>
          <w:sz w:val="24"/>
          <w:szCs w:val="24"/>
          <w:lang w:val="sq-AL"/>
        </w:rPr>
        <w:t xml:space="preserve">imi i </w:t>
      </w:r>
      <w:r w:rsidR="00C95C17" w:rsidRPr="00EA1CA4">
        <w:rPr>
          <w:rFonts w:ascii="Times New Roman" w:hAnsi="Times New Roman"/>
          <w:sz w:val="24"/>
          <w:szCs w:val="24"/>
          <w:lang w:val="sq-AL"/>
        </w:rPr>
        <w:t>ndikimi</w:t>
      </w:r>
      <w:r w:rsidRPr="00EA1CA4">
        <w:rPr>
          <w:rFonts w:ascii="Times New Roman" w:hAnsi="Times New Roman"/>
          <w:sz w:val="24"/>
          <w:szCs w:val="24"/>
          <w:lang w:val="sq-AL"/>
        </w:rPr>
        <w:t>t</w:t>
      </w:r>
      <w:r w:rsidR="00C95C17" w:rsidRPr="00EA1CA4">
        <w:rPr>
          <w:rFonts w:ascii="Times New Roman" w:hAnsi="Times New Roman"/>
          <w:sz w:val="24"/>
          <w:szCs w:val="24"/>
          <w:lang w:val="sq-AL"/>
        </w:rPr>
        <w:t xml:space="preserve"> </w:t>
      </w:r>
      <w:r w:rsidRPr="00EA1CA4">
        <w:rPr>
          <w:rFonts w:ascii="Times New Roman" w:hAnsi="Times New Roman"/>
          <w:sz w:val="24"/>
          <w:szCs w:val="24"/>
          <w:lang w:val="sq-AL"/>
        </w:rPr>
        <w:t>të</w:t>
      </w:r>
      <w:r w:rsidR="00C95C17" w:rsidRPr="00EA1CA4">
        <w:rPr>
          <w:rFonts w:ascii="Times New Roman" w:hAnsi="Times New Roman"/>
          <w:sz w:val="24"/>
          <w:szCs w:val="24"/>
          <w:lang w:val="sq-AL"/>
        </w:rPr>
        <w:t xml:space="preserve"> tij në evoluimin e epidemisë së TB-së në Kosovë</w:t>
      </w:r>
    </w:p>
    <w:p w:rsidR="00C95C17" w:rsidRPr="00EA1CA4" w:rsidRDefault="00C95C17">
      <w:pPr>
        <w:pStyle w:val="ListParagraph"/>
        <w:numPr>
          <w:ilvl w:val="2"/>
          <w:numId w:val="19"/>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Planifikimi i ofruesve privatë të shërbimeve të TB në Kosovë për të përmirësuar koordinimin dhe integrimin e shërbimeve</w:t>
      </w:r>
      <w:r w:rsidR="009D510E" w:rsidRPr="00EA1CA4">
        <w:rPr>
          <w:rFonts w:ascii="Times New Roman" w:hAnsi="Times New Roman"/>
          <w:sz w:val="24"/>
          <w:szCs w:val="24"/>
          <w:lang w:val="sq-AL"/>
        </w:rPr>
        <w:t>,</w:t>
      </w:r>
      <w:r w:rsidRPr="00EA1CA4">
        <w:rPr>
          <w:rFonts w:ascii="Times New Roman" w:hAnsi="Times New Roman"/>
          <w:sz w:val="24"/>
          <w:szCs w:val="24"/>
          <w:lang w:val="sq-AL"/>
        </w:rPr>
        <w:t xml:space="preserve"> </w:t>
      </w:r>
      <w:r w:rsidR="009D510E" w:rsidRPr="00EA1CA4">
        <w:rPr>
          <w:rFonts w:ascii="Times New Roman" w:hAnsi="Times New Roman"/>
          <w:sz w:val="24"/>
          <w:szCs w:val="24"/>
          <w:lang w:val="sq-AL"/>
        </w:rPr>
        <w:t xml:space="preserve">si </w:t>
      </w:r>
      <w:r w:rsidRPr="00EA1CA4">
        <w:rPr>
          <w:rFonts w:ascii="Times New Roman" w:hAnsi="Times New Roman"/>
          <w:sz w:val="24"/>
          <w:szCs w:val="24"/>
          <w:lang w:val="sq-AL"/>
        </w:rPr>
        <w:t xml:space="preserve">dhe për të zgjeruar aktivitetet pilot PPMix në </w:t>
      </w:r>
      <w:r w:rsidR="009D510E" w:rsidRPr="00EA1CA4">
        <w:rPr>
          <w:rFonts w:ascii="Times New Roman" w:hAnsi="Times New Roman"/>
          <w:sz w:val="24"/>
          <w:szCs w:val="24"/>
          <w:lang w:val="sq-AL"/>
        </w:rPr>
        <w:t>mbarë</w:t>
      </w:r>
      <w:r w:rsidRPr="00EA1CA4">
        <w:rPr>
          <w:rFonts w:ascii="Times New Roman" w:hAnsi="Times New Roman"/>
          <w:sz w:val="24"/>
          <w:szCs w:val="24"/>
          <w:lang w:val="sq-AL"/>
        </w:rPr>
        <w:t xml:space="preserve"> Kosovën</w:t>
      </w:r>
    </w:p>
    <w:p w:rsidR="00C95C17" w:rsidRPr="00EA1CA4" w:rsidRDefault="00C95C17">
      <w:pPr>
        <w:pStyle w:val="ListParagraph"/>
        <w:numPr>
          <w:ilvl w:val="2"/>
          <w:numId w:val="19"/>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Vlerësimi i stigmës së lidhur me TB midis komuniteteve të prekura nga TB</w:t>
      </w:r>
    </w:p>
    <w:p w:rsidR="00C95C17" w:rsidRPr="00EA1CA4" w:rsidRDefault="009D510E">
      <w:pPr>
        <w:pStyle w:val="ListParagraph"/>
        <w:numPr>
          <w:ilvl w:val="2"/>
          <w:numId w:val="19"/>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Zhvillimi i </w:t>
      </w:r>
      <w:r w:rsidR="00C95C17" w:rsidRPr="00EA1CA4">
        <w:rPr>
          <w:rFonts w:ascii="Times New Roman" w:hAnsi="Times New Roman"/>
          <w:sz w:val="24"/>
          <w:szCs w:val="24"/>
          <w:lang w:val="sq-AL"/>
        </w:rPr>
        <w:t>studime</w:t>
      </w:r>
      <w:r w:rsidRPr="00EA1CA4">
        <w:rPr>
          <w:rFonts w:ascii="Times New Roman" w:hAnsi="Times New Roman"/>
          <w:sz w:val="24"/>
          <w:szCs w:val="24"/>
          <w:lang w:val="sq-AL"/>
        </w:rPr>
        <w:t>ve</w:t>
      </w:r>
      <w:r w:rsidR="00C95C17" w:rsidRPr="00EA1CA4">
        <w:rPr>
          <w:rFonts w:ascii="Times New Roman" w:hAnsi="Times New Roman"/>
          <w:sz w:val="24"/>
          <w:szCs w:val="24"/>
          <w:lang w:val="sq-AL"/>
        </w:rPr>
        <w:t xml:space="preserve"> periodike për të vlerësuar njohuritë, qëndrimet dhe praktikat e </w:t>
      </w:r>
      <w:r w:rsidRPr="00EA1CA4">
        <w:rPr>
          <w:rFonts w:ascii="Times New Roman" w:hAnsi="Times New Roman"/>
          <w:sz w:val="24"/>
          <w:szCs w:val="24"/>
          <w:lang w:val="sq-AL"/>
        </w:rPr>
        <w:t>TB-së</w:t>
      </w:r>
      <w:r w:rsidR="00C95C17" w:rsidRPr="00EA1CA4">
        <w:rPr>
          <w:rFonts w:ascii="Times New Roman" w:hAnsi="Times New Roman"/>
          <w:sz w:val="24"/>
          <w:szCs w:val="24"/>
          <w:lang w:val="sq-AL"/>
        </w:rPr>
        <w:t xml:space="preserve"> (NJQP) midis punonjësve të kujdesit shëndetësor dhe popullatës së përgjithshme</w:t>
      </w:r>
      <w:r w:rsidRPr="00EA1CA4">
        <w:rPr>
          <w:rFonts w:ascii="Times New Roman" w:hAnsi="Times New Roman"/>
          <w:sz w:val="24"/>
          <w:szCs w:val="24"/>
          <w:lang w:val="sq-AL"/>
        </w:rPr>
        <w:t>,</w:t>
      </w:r>
      <w:r w:rsidR="00C95C17" w:rsidRPr="00EA1CA4">
        <w:rPr>
          <w:rFonts w:ascii="Times New Roman" w:hAnsi="Times New Roman"/>
          <w:sz w:val="24"/>
          <w:szCs w:val="24"/>
          <w:lang w:val="sq-AL"/>
        </w:rPr>
        <w:t xml:space="preserve"> dhe studime</w:t>
      </w:r>
      <w:r w:rsidRPr="00EA1CA4">
        <w:rPr>
          <w:rFonts w:ascii="Times New Roman" w:hAnsi="Times New Roman"/>
          <w:sz w:val="24"/>
          <w:szCs w:val="24"/>
          <w:lang w:val="sq-AL"/>
        </w:rPr>
        <w:t>ve</w:t>
      </w:r>
      <w:r w:rsidR="00C95C17" w:rsidRPr="00EA1CA4">
        <w:rPr>
          <w:rFonts w:ascii="Times New Roman" w:hAnsi="Times New Roman"/>
          <w:sz w:val="24"/>
          <w:szCs w:val="24"/>
          <w:lang w:val="sq-AL"/>
        </w:rPr>
        <w:t xml:space="preserve"> mbi kënaqës</w:t>
      </w:r>
      <w:r w:rsidRPr="00EA1CA4">
        <w:rPr>
          <w:rFonts w:ascii="Times New Roman" w:hAnsi="Times New Roman"/>
          <w:sz w:val="24"/>
          <w:szCs w:val="24"/>
          <w:lang w:val="sq-AL"/>
        </w:rPr>
        <w:t>hmër</w:t>
      </w:r>
      <w:r w:rsidR="00C95C17" w:rsidRPr="00EA1CA4">
        <w:rPr>
          <w:rFonts w:ascii="Times New Roman" w:hAnsi="Times New Roman"/>
          <w:sz w:val="24"/>
          <w:szCs w:val="24"/>
          <w:lang w:val="sq-AL"/>
        </w:rPr>
        <w:t>inë e pacientëve me shërbimet e TB</w:t>
      </w:r>
    </w:p>
    <w:p w:rsidR="00737C94" w:rsidRPr="00EA1CA4" w:rsidRDefault="009D510E">
      <w:pPr>
        <w:pStyle w:val="ListParagraph"/>
        <w:numPr>
          <w:ilvl w:val="2"/>
          <w:numId w:val="19"/>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Zhvillimi i </w:t>
      </w:r>
      <w:r w:rsidR="00C95C17" w:rsidRPr="00EA1CA4">
        <w:rPr>
          <w:rFonts w:ascii="Times New Roman" w:hAnsi="Times New Roman"/>
          <w:sz w:val="24"/>
          <w:szCs w:val="24"/>
          <w:lang w:val="sq-AL"/>
        </w:rPr>
        <w:t>vlerësimi</w:t>
      </w:r>
      <w:r w:rsidRPr="00EA1CA4">
        <w:rPr>
          <w:rFonts w:ascii="Times New Roman" w:hAnsi="Times New Roman"/>
          <w:sz w:val="24"/>
          <w:szCs w:val="24"/>
          <w:lang w:val="sq-AL"/>
        </w:rPr>
        <w:t>t</w:t>
      </w:r>
      <w:r w:rsidR="00C95C17" w:rsidRPr="00EA1CA4">
        <w:rPr>
          <w:rFonts w:ascii="Times New Roman" w:hAnsi="Times New Roman"/>
          <w:sz w:val="24"/>
          <w:szCs w:val="24"/>
          <w:lang w:val="sq-AL"/>
        </w:rPr>
        <w:t xml:space="preserve"> </w:t>
      </w:r>
      <w:r w:rsidRPr="00EA1CA4">
        <w:rPr>
          <w:rFonts w:ascii="Times New Roman" w:hAnsi="Times New Roman"/>
          <w:sz w:val="24"/>
          <w:szCs w:val="24"/>
          <w:lang w:val="sq-AL"/>
        </w:rPr>
        <w:t xml:space="preserve">të reagimit </w:t>
      </w:r>
      <w:r w:rsidR="00C95C17" w:rsidRPr="00EA1CA4">
        <w:rPr>
          <w:rFonts w:ascii="Times New Roman" w:hAnsi="Times New Roman"/>
          <w:sz w:val="24"/>
          <w:szCs w:val="24"/>
          <w:lang w:val="sq-AL"/>
        </w:rPr>
        <w:t xml:space="preserve">kombëtar ndaj TB nga komunitetet, të drejtat e njeriut dhe gjinia </w:t>
      </w:r>
      <w:r w:rsidR="00C95C17" w:rsidRPr="00EA1CA4">
        <w:rPr>
          <w:rFonts w:ascii="Times New Roman" w:hAnsi="Times New Roman"/>
          <w:sz w:val="24"/>
          <w:szCs w:val="24"/>
          <w:lang w:val="sq-AL"/>
        </w:rPr>
        <w:lastRenderedPageBreak/>
        <w:t>(HRG) duke përdorur instrumentin standard të vlerësimit</w:t>
      </w:r>
      <w:r w:rsidR="00737C94" w:rsidRPr="00EA1CA4">
        <w:rPr>
          <w:rFonts w:ascii="Times New Roman" w:hAnsi="Times New Roman"/>
          <w:sz w:val="24"/>
          <w:szCs w:val="24"/>
          <w:lang w:val="sq-AL"/>
        </w:rPr>
        <w:t>.</w:t>
      </w:r>
      <w:r w:rsidR="00737C94" w:rsidRPr="00EA1CA4">
        <w:rPr>
          <w:rStyle w:val="FootnoteReference"/>
          <w:rFonts w:ascii="Times New Roman" w:hAnsi="Times New Roman"/>
          <w:sz w:val="24"/>
          <w:szCs w:val="24"/>
          <w:lang w:val="sq-AL"/>
        </w:rPr>
        <w:footnoteReference w:id="18"/>
      </w:r>
    </w:p>
    <w:p w:rsidR="00C95C17" w:rsidRPr="00EA1CA4" w:rsidRDefault="00C95C17">
      <w:pPr>
        <w:pStyle w:val="ListParagraph"/>
        <w:numPr>
          <w:ilvl w:val="2"/>
          <w:numId w:val="19"/>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Mobilizimi i burimeve dhe rritja e financimit publik për promovimin e agjendës së </w:t>
      </w:r>
      <w:r w:rsidR="009D510E" w:rsidRPr="00EA1CA4">
        <w:rPr>
          <w:rFonts w:ascii="Times New Roman" w:hAnsi="Times New Roman"/>
          <w:sz w:val="24"/>
          <w:szCs w:val="24"/>
          <w:lang w:val="sq-AL"/>
        </w:rPr>
        <w:t xml:space="preserve">kërkimit rreth </w:t>
      </w:r>
      <w:r w:rsidRPr="00EA1CA4">
        <w:rPr>
          <w:rFonts w:ascii="Times New Roman" w:hAnsi="Times New Roman"/>
          <w:sz w:val="24"/>
          <w:szCs w:val="24"/>
          <w:lang w:val="sq-AL"/>
        </w:rPr>
        <w:t>TB</w:t>
      </w:r>
      <w:r w:rsidR="009D510E" w:rsidRPr="00EA1CA4">
        <w:rPr>
          <w:rFonts w:ascii="Times New Roman" w:hAnsi="Times New Roman"/>
          <w:sz w:val="24"/>
          <w:szCs w:val="24"/>
          <w:lang w:val="sq-AL"/>
        </w:rPr>
        <w:t>-së</w:t>
      </w:r>
      <w:r w:rsidRPr="00EA1CA4">
        <w:rPr>
          <w:rFonts w:ascii="Times New Roman" w:hAnsi="Times New Roman"/>
          <w:sz w:val="24"/>
          <w:szCs w:val="24"/>
          <w:lang w:val="sq-AL"/>
        </w:rPr>
        <w:t xml:space="preserve"> në Kosovë</w:t>
      </w:r>
    </w:p>
    <w:p w:rsidR="00C95C17" w:rsidRPr="00EA1CA4" w:rsidRDefault="00C95C17">
      <w:pPr>
        <w:pStyle w:val="ListParagraph"/>
        <w:numPr>
          <w:ilvl w:val="2"/>
          <w:numId w:val="19"/>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Forc</w:t>
      </w:r>
      <w:r w:rsidR="009D510E" w:rsidRPr="00EA1CA4">
        <w:rPr>
          <w:rFonts w:ascii="Times New Roman" w:hAnsi="Times New Roman"/>
          <w:sz w:val="24"/>
          <w:szCs w:val="24"/>
          <w:lang w:val="sq-AL"/>
        </w:rPr>
        <w:t xml:space="preserve">imi i </w:t>
      </w:r>
      <w:r w:rsidRPr="00EA1CA4">
        <w:rPr>
          <w:rFonts w:ascii="Times New Roman" w:hAnsi="Times New Roman"/>
          <w:sz w:val="24"/>
          <w:szCs w:val="24"/>
          <w:lang w:val="sq-AL"/>
        </w:rPr>
        <w:t>kapacitete</w:t>
      </w:r>
      <w:r w:rsidR="009D510E" w:rsidRPr="00EA1CA4">
        <w:rPr>
          <w:rFonts w:ascii="Times New Roman" w:hAnsi="Times New Roman"/>
          <w:sz w:val="24"/>
          <w:szCs w:val="24"/>
          <w:lang w:val="sq-AL"/>
        </w:rPr>
        <w:t xml:space="preserve">ve kërkuese </w:t>
      </w:r>
      <w:r w:rsidRPr="00EA1CA4">
        <w:rPr>
          <w:rFonts w:ascii="Times New Roman" w:hAnsi="Times New Roman"/>
          <w:sz w:val="24"/>
          <w:szCs w:val="24"/>
          <w:lang w:val="sq-AL"/>
        </w:rPr>
        <w:t>të TB-së në Katedrën e Pulmo</w:t>
      </w:r>
      <w:r w:rsidR="009D510E" w:rsidRPr="00EA1CA4">
        <w:rPr>
          <w:rFonts w:ascii="Times New Roman" w:hAnsi="Times New Roman"/>
          <w:sz w:val="24"/>
          <w:szCs w:val="24"/>
          <w:lang w:val="sq-AL"/>
        </w:rPr>
        <w:t>no</w:t>
      </w:r>
      <w:r w:rsidRPr="00EA1CA4">
        <w:rPr>
          <w:rFonts w:ascii="Times New Roman" w:hAnsi="Times New Roman"/>
          <w:sz w:val="24"/>
          <w:szCs w:val="24"/>
          <w:lang w:val="sq-AL"/>
        </w:rPr>
        <w:t xml:space="preserve">logjisë </w:t>
      </w:r>
      <w:r w:rsidR="009D510E" w:rsidRPr="00EA1CA4">
        <w:rPr>
          <w:rFonts w:ascii="Times New Roman" w:hAnsi="Times New Roman"/>
          <w:sz w:val="24"/>
          <w:szCs w:val="24"/>
          <w:lang w:val="sq-AL"/>
        </w:rPr>
        <w:t>pran</w:t>
      </w:r>
      <w:r w:rsidRPr="00EA1CA4">
        <w:rPr>
          <w:rFonts w:ascii="Times New Roman" w:hAnsi="Times New Roman"/>
          <w:sz w:val="24"/>
          <w:szCs w:val="24"/>
          <w:lang w:val="sq-AL"/>
        </w:rPr>
        <w:t>ë Fakultetit të Mjekësisë dhe Njësisë Qendrore të Menaxhimit të TB-së në MSH</w:t>
      </w:r>
    </w:p>
    <w:p w:rsidR="00737C94" w:rsidRPr="00EA1CA4" w:rsidRDefault="00C95C17">
      <w:pPr>
        <w:pStyle w:val="ListParagraph"/>
        <w:numPr>
          <w:ilvl w:val="2"/>
          <w:numId w:val="19"/>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Promov</w:t>
      </w:r>
      <w:r w:rsidR="009D510E" w:rsidRPr="00EA1CA4">
        <w:rPr>
          <w:rFonts w:ascii="Times New Roman" w:hAnsi="Times New Roman"/>
          <w:sz w:val="24"/>
          <w:szCs w:val="24"/>
          <w:lang w:val="sq-AL"/>
        </w:rPr>
        <w:t xml:space="preserve">imi i </w:t>
      </w:r>
      <w:r w:rsidRPr="00EA1CA4">
        <w:rPr>
          <w:rFonts w:ascii="Times New Roman" w:hAnsi="Times New Roman"/>
          <w:sz w:val="24"/>
          <w:szCs w:val="24"/>
          <w:lang w:val="sq-AL"/>
        </w:rPr>
        <w:t>agjendë</w:t>
      </w:r>
      <w:r w:rsidR="009D510E" w:rsidRPr="00EA1CA4">
        <w:rPr>
          <w:rFonts w:ascii="Times New Roman" w:hAnsi="Times New Roman"/>
          <w:sz w:val="24"/>
          <w:szCs w:val="24"/>
          <w:lang w:val="sq-AL"/>
        </w:rPr>
        <w:t>s</w:t>
      </w:r>
      <w:r w:rsidRPr="00EA1CA4">
        <w:rPr>
          <w:rFonts w:ascii="Times New Roman" w:hAnsi="Times New Roman"/>
          <w:sz w:val="24"/>
          <w:szCs w:val="24"/>
          <w:lang w:val="sq-AL"/>
        </w:rPr>
        <w:t xml:space="preserve"> </w:t>
      </w:r>
      <w:r w:rsidR="009D510E" w:rsidRPr="00EA1CA4">
        <w:rPr>
          <w:rFonts w:ascii="Times New Roman" w:hAnsi="Times New Roman"/>
          <w:sz w:val="24"/>
          <w:szCs w:val="24"/>
          <w:lang w:val="sq-AL"/>
        </w:rPr>
        <w:t xml:space="preserve">së </w:t>
      </w:r>
      <w:r w:rsidRPr="00EA1CA4">
        <w:rPr>
          <w:rFonts w:ascii="Times New Roman" w:hAnsi="Times New Roman"/>
          <w:sz w:val="24"/>
          <w:szCs w:val="24"/>
          <w:lang w:val="sq-AL"/>
        </w:rPr>
        <w:t>kërkimit përmes rrjetëzimit dhe shkëmbimit të kërkimit, dhe pjesëmarrjes në takime/konferenca shkencore</w:t>
      </w:r>
      <w:r w:rsidR="00737C94" w:rsidRPr="00EA1CA4">
        <w:rPr>
          <w:rFonts w:ascii="Times New Roman" w:hAnsi="Times New Roman"/>
          <w:sz w:val="24"/>
          <w:szCs w:val="24"/>
          <w:lang w:val="sq-AL"/>
        </w:rPr>
        <w:t xml:space="preserve">. </w:t>
      </w:r>
    </w:p>
    <w:p w:rsidR="00121B64" w:rsidRPr="00EA1CA4" w:rsidRDefault="00DA78D3" w:rsidP="00DA78D3">
      <w:pPr>
        <w:pStyle w:val="Heading1"/>
        <w:rPr>
          <w:rFonts w:ascii="Times New Roman" w:hAnsi="Times New Roman"/>
          <w:szCs w:val="24"/>
        </w:rPr>
      </w:pPr>
      <w:bookmarkStart w:id="34" w:name="_Toc108517254"/>
      <w:r w:rsidRPr="00EA1CA4">
        <w:rPr>
          <w:rFonts w:ascii="Times New Roman" w:hAnsi="Times New Roman"/>
          <w:szCs w:val="24"/>
        </w:rPr>
        <w:t xml:space="preserve">6. </w:t>
      </w:r>
      <w:r w:rsidR="0018744C" w:rsidRPr="00EA1CA4">
        <w:rPr>
          <w:rFonts w:ascii="Times New Roman" w:hAnsi="Times New Roman"/>
          <w:szCs w:val="24"/>
        </w:rPr>
        <w:t xml:space="preserve">Aranzhimet </w:t>
      </w:r>
      <w:r w:rsidR="009D510E" w:rsidRPr="00EA1CA4">
        <w:rPr>
          <w:rFonts w:ascii="Times New Roman" w:hAnsi="Times New Roman"/>
          <w:szCs w:val="24"/>
        </w:rPr>
        <w:t xml:space="preserve"> e </w:t>
      </w:r>
      <w:r w:rsidR="00C95C17" w:rsidRPr="00EA1CA4">
        <w:rPr>
          <w:rFonts w:ascii="Times New Roman" w:hAnsi="Times New Roman"/>
          <w:szCs w:val="24"/>
        </w:rPr>
        <w:t>zbatimit, monitorimit dhe raportimit</w:t>
      </w:r>
      <w:bookmarkEnd w:id="34"/>
    </w:p>
    <w:p w:rsidR="00DA78D3" w:rsidRPr="00EA1CA4" w:rsidRDefault="00DA78D3" w:rsidP="00DA78D3"/>
    <w:p w:rsidR="005240E4" w:rsidRPr="00EA1CA4" w:rsidRDefault="00FB5CF3" w:rsidP="00DA78D3">
      <w:bookmarkStart w:id="35" w:name="_Toc93005235"/>
      <w:bookmarkStart w:id="36" w:name="_Toc93072908"/>
      <w:r w:rsidRPr="00EA1CA4">
        <w:t xml:space="preserve">6.1 </w:t>
      </w:r>
      <w:bookmarkEnd w:id="35"/>
      <w:bookmarkEnd w:id="36"/>
      <w:r w:rsidR="00CD68E0" w:rsidRPr="00EA1CA4">
        <w:t xml:space="preserve"> </w:t>
      </w:r>
      <w:r w:rsidR="00C95C17" w:rsidRPr="00EA1CA4">
        <w:t xml:space="preserve">Qeverisja dhe </w:t>
      </w:r>
      <w:r w:rsidR="009D510E" w:rsidRPr="00EA1CA4">
        <w:t xml:space="preserve">Lidershipi i </w:t>
      </w:r>
      <w:r w:rsidR="00C95C17" w:rsidRPr="00EA1CA4">
        <w:t>TB</w:t>
      </w:r>
      <w:r w:rsidR="009D510E" w:rsidRPr="00EA1CA4">
        <w:t>-së</w:t>
      </w:r>
    </w:p>
    <w:p w:rsidR="003531D1" w:rsidRPr="00EA1CA4" w:rsidRDefault="003531D1" w:rsidP="00624E04">
      <w:pPr>
        <w:spacing w:line="276" w:lineRule="auto"/>
        <w:jc w:val="both"/>
        <w:rPr>
          <w:b/>
        </w:rPr>
      </w:pPr>
      <w:bookmarkStart w:id="37" w:name="_Ref82989866"/>
    </w:p>
    <w:p w:rsidR="005240E4" w:rsidRPr="00EA1CA4" w:rsidRDefault="0029453A" w:rsidP="00624E04">
      <w:pPr>
        <w:spacing w:line="276" w:lineRule="auto"/>
        <w:jc w:val="both"/>
      </w:pPr>
      <w:r w:rsidRPr="00EA1CA4">
        <w:rPr>
          <w:b/>
        </w:rPr>
        <w:t xml:space="preserve">Ministria e </w:t>
      </w:r>
      <w:r w:rsidR="00DF1469" w:rsidRPr="00EA1CA4">
        <w:rPr>
          <w:b/>
        </w:rPr>
        <w:t>Shëndetësisë</w:t>
      </w:r>
      <w:r w:rsidR="005240E4" w:rsidRPr="00EA1CA4">
        <w:rPr>
          <w:rStyle w:val="FootnoteReference"/>
          <w:b/>
        </w:rPr>
        <w:footnoteReference w:id="19"/>
      </w:r>
      <w:bookmarkEnd w:id="37"/>
      <w:r w:rsidR="005240E4" w:rsidRPr="00EA1CA4">
        <w:rPr>
          <w:b/>
        </w:rPr>
        <w:t>:</w:t>
      </w:r>
      <w:r w:rsidR="00DF1469" w:rsidRPr="00EA1CA4">
        <w:rPr>
          <w:b/>
        </w:rPr>
        <w:t xml:space="preserve"> </w:t>
      </w:r>
      <w:r w:rsidRPr="00EA1CA4">
        <w:t xml:space="preserve">MSH është agjencia kryesore që përcakton vizionin dhe misionin e Sektorit të kujdesit shëndetësor në Kosovë. Departamenti i Shërbimit Shëndetësor në Ministrinë e Shëndetësisë ofron asistencë dhe këshilla në hartimin e politikave/strategjive dhe legjislacionit në sektorin shëndetësor. </w:t>
      </w:r>
      <w:r w:rsidR="009D510E" w:rsidRPr="00EA1CA4">
        <w:t>Në kuadër të</w:t>
      </w:r>
      <w:r w:rsidRPr="00EA1CA4">
        <w:t xml:space="preserve"> këtij Departamenti funksionon Divizion</w:t>
      </w:r>
      <w:r w:rsidR="009D510E" w:rsidRPr="00EA1CA4">
        <w:t>i</w:t>
      </w:r>
      <w:r w:rsidRPr="00EA1CA4">
        <w:t xml:space="preserve"> i Shërbimeve të </w:t>
      </w:r>
      <w:r w:rsidR="009D510E" w:rsidRPr="00EA1CA4">
        <w:t xml:space="preserve">Veçanta </w:t>
      </w:r>
      <w:r w:rsidRPr="00EA1CA4">
        <w:t>Shëndetësor</w:t>
      </w:r>
      <w:r w:rsidR="009D510E" w:rsidRPr="00EA1CA4">
        <w:t>e,</w:t>
      </w:r>
      <w:r w:rsidRPr="00EA1CA4">
        <w:t xml:space="preserve"> që është agjencia kryesore që merret me sëmun</w:t>
      </w:r>
      <w:r w:rsidR="009D510E" w:rsidRPr="00EA1CA4">
        <w:t>djet specifike, duke përfshirë T</w:t>
      </w:r>
      <w:r w:rsidRPr="00EA1CA4">
        <w:t>uberkulozin dhe HIV/AIDS.</w:t>
      </w:r>
    </w:p>
    <w:p w:rsidR="005240E4" w:rsidRPr="00EA1CA4" w:rsidRDefault="0029453A" w:rsidP="00624E04">
      <w:pPr>
        <w:spacing w:line="276" w:lineRule="auto"/>
        <w:jc w:val="both"/>
      </w:pPr>
      <w:r w:rsidRPr="00EA1CA4">
        <w:rPr>
          <w:b/>
        </w:rPr>
        <w:t xml:space="preserve">Njësia Qendrore e Menaxhimit të Tuberkulozit për Programin Kombëtar </w:t>
      </w:r>
      <w:r w:rsidR="006F2D81" w:rsidRPr="00EA1CA4">
        <w:rPr>
          <w:b/>
        </w:rPr>
        <w:t>kundër</w:t>
      </w:r>
      <w:r w:rsidRPr="00EA1CA4">
        <w:rPr>
          <w:b/>
        </w:rPr>
        <w:t xml:space="preserve"> Tuberkulozit</w:t>
      </w:r>
      <w:r w:rsidRPr="00EA1CA4">
        <w:t xml:space="preserve"> është themeluar </w:t>
      </w:r>
      <w:r w:rsidR="006F2D81" w:rsidRPr="00EA1CA4">
        <w:t xml:space="preserve">zyrtarisht </w:t>
      </w:r>
      <w:r w:rsidRPr="00EA1CA4">
        <w:t xml:space="preserve">në kuadër të </w:t>
      </w:r>
      <w:r w:rsidRPr="00EA1CA4">
        <w:rPr>
          <w:i/>
        </w:rPr>
        <w:t>Ministrisë së Shëndetësisë</w:t>
      </w:r>
      <w:r w:rsidRPr="00EA1CA4">
        <w:t xml:space="preserve"> më 01/2014</w:t>
      </w:r>
      <w:r w:rsidR="006F2D81" w:rsidRPr="00EA1CA4">
        <w:t>_</w:t>
      </w:r>
      <w:r w:rsidRPr="00EA1CA4">
        <w:t>doc. “</w:t>
      </w:r>
      <w:r w:rsidRPr="00EA1CA4">
        <w:rPr>
          <w:b/>
        </w:rPr>
        <w:t>Njësia Qendrore e Tuberkulozit (TB) - Programi Kombëtar i Tuberkulozit (PKTB</w:t>
      </w:r>
      <w:r w:rsidRPr="00EA1CA4">
        <w:t xml:space="preserve">” i nënshkruar nga Ministri i Shëndetësisë, Ferid Agani. Njësia është pjesë e Divizionit të Shërbimeve </w:t>
      </w:r>
      <w:r w:rsidR="00FB2CA7" w:rsidRPr="00EA1CA4">
        <w:t xml:space="preserve">të Veçanta </w:t>
      </w:r>
      <w:r w:rsidRPr="00EA1CA4">
        <w:t>S</w:t>
      </w:r>
      <w:r w:rsidR="00FB2CA7" w:rsidRPr="00EA1CA4">
        <w:t xml:space="preserve">hëndetësore </w:t>
      </w:r>
      <w:r w:rsidRPr="00EA1CA4">
        <w:t xml:space="preserve">në kuadër të Departamentit të Shërbimeve Shëndetësore. Përbëhet </w:t>
      </w:r>
      <w:r w:rsidR="00FB2CA7" w:rsidRPr="00EA1CA4">
        <w:t xml:space="preserve">prej </w:t>
      </w:r>
      <w:r w:rsidRPr="00EA1CA4">
        <w:t>një anëtar</w:t>
      </w:r>
      <w:r w:rsidR="00FB2CA7" w:rsidRPr="00EA1CA4">
        <w:t>i të</w:t>
      </w:r>
      <w:r w:rsidRPr="00EA1CA4">
        <w:t xml:space="preserve"> stafi</w:t>
      </w:r>
      <w:r w:rsidR="00FB2CA7" w:rsidRPr="00EA1CA4">
        <w:t>t</w:t>
      </w:r>
      <w:r w:rsidRPr="00EA1CA4">
        <w:t xml:space="preserve">: Koordinatori Kombëtar </w:t>
      </w:r>
      <w:r w:rsidR="00FB2CA7" w:rsidRPr="00EA1CA4">
        <w:t>për</w:t>
      </w:r>
      <w:r w:rsidRPr="00EA1CA4">
        <w:t xml:space="preserve"> TB. Detyrat kryesore të Njësisë së Koordinimit përfshijnë koordinimin dhe bashkëpunimin; planifikimin, mbikëqyrjen, monitorimin dhe vlerësimin e të gjitha aktiviteteve që lidhen </w:t>
      </w:r>
      <w:r w:rsidRPr="00EA1CA4">
        <w:lastRenderedPageBreak/>
        <w:t>me diagno</w:t>
      </w:r>
      <w:r w:rsidR="00FB2CA7" w:rsidRPr="00EA1CA4">
        <w:t>stikimin</w:t>
      </w:r>
      <w:r w:rsidRPr="00EA1CA4">
        <w:t>, trajtimin dhe shërbimet e kujdesit. Njësia luan rol kyç në përmirësimin e menaxhimit klinik të TB</w:t>
      </w:r>
      <w:r w:rsidR="00FB2CA7" w:rsidRPr="00EA1CA4">
        <w:t>-së</w:t>
      </w:r>
      <w:r w:rsidRPr="00EA1CA4">
        <w:t xml:space="preserve"> përmes zhvillimit të protokolleve të TB-së, udhëz</w:t>
      </w:r>
      <w:r w:rsidR="00FB2CA7" w:rsidRPr="00EA1CA4">
        <w:t xml:space="preserve">uesve </w:t>
      </w:r>
      <w:r w:rsidRPr="00EA1CA4">
        <w:t xml:space="preserve">dhe </w:t>
      </w:r>
      <w:r w:rsidR="00FB2CA7" w:rsidRPr="00EA1CA4">
        <w:t xml:space="preserve">sigurimit </w:t>
      </w:r>
      <w:r w:rsidRPr="00EA1CA4">
        <w:t>të mbikëqyrjes mbështetëse për laboratorët dhe qendrat e shërbimit mjekësor të TB-së.</w:t>
      </w:r>
    </w:p>
    <w:p w:rsidR="005240E4" w:rsidRPr="00EA1CA4" w:rsidRDefault="0029453A" w:rsidP="00624E04">
      <w:pPr>
        <w:spacing w:line="276" w:lineRule="auto"/>
        <w:jc w:val="both"/>
        <w:rPr>
          <w:bCs/>
        </w:rPr>
      </w:pPr>
      <w:r w:rsidRPr="00EA1CA4">
        <w:rPr>
          <w:b/>
          <w:bCs/>
        </w:rPr>
        <w:t>Instituti Kombëtar Shëndet</w:t>
      </w:r>
      <w:r w:rsidR="00D91626" w:rsidRPr="00EA1CA4">
        <w:rPr>
          <w:b/>
          <w:bCs/>
        </w:rPr>
        <w:t>ësisë</w:t>
      </w:r>
      <w:r w:rsidRPr="00EA1CA4">
        <w:rPr>
          <w:b/>
          <w:bCs/>
        </w:rPr>
        <w:t xml:space="preserve"> Publik</w:t>
      </w:r>
      <w:r w:rsidR="00D91626" w:rsidRPr="00EA1CA4">
        <w:rPr>
          <w:b/>
          <w:bCs/>
        </w:rPr>
        <w:t>e</w:t>
      </w:r>
      <w:r w:rsidRPr="00EA1CA4">
        <w:rPr>
          <w:b/>
          <w:bCs/>
        </w:rPr>
        <w:t xml:space="preserve"> </w:t>
      </w:r>
      <w:r w:rsidR="00D91626" w:rsidRPr="00EA1CA4">
        <w:rPr>
          <w:b/>
          <w:bCs/>
        </w:rPr>
        <w:t>të</w:t>
      </w:r>
      <w:r w:rsidRPr="00EA1CA4">
        <w:rPr>
          <w:b/>
          <w:bCs/>
        </w:rPr>
        <w:t xml:space="preserve"> Kosovës (I</w:t>
      </w:r>
      <w:r w:rsidR="00D91626" w:rsidRPr="00EA1CA4">
        <w:rPr>
          <w:b/>
          <w:bCs/>
        </w:rPr>
        <w:t>K</w:t>
      </w:r>
      <w:r w:rsidRPr="00EA1CA4">
        <w:rPr>
          <w:b/>
          <w:bCs/>
        </w:rPr>
        <w:t xml:space="preserve">), </w:t>
      </w:r>
      <w:r w:rsidRPr="00EA1CA4">
        <w:rPr>
          <w:bCs/>
        </w:rPr>
        <w:t>institucioni i tij shkencor si pjesë e KS</w:t>
      </w:r>
      <w:r w:rsidR="005A2D2E" w:rsidRPr="00EA1CA4">
        <w:rPr>
          <w:bCs/>
        </w:rPr>
        <w:t>h</w:t>
      </w:r>
      <w:r w:rsidRPr="00EA1CA4">
        <w:rPr>
          <w:bCs/>
        </w:rPr>
        <w:t>T-së. I</w:t>
      </w:r>
      <w:r w:rsidR="00D91626" w:rsidRPr="00EA1CA4">
        <w:rPr>
          <w:bCs/>
        </w:rPr>
        <w:t>K</w:t>
      </w:r>
      <w:r w:rsidRPr="00EA1CA4">
        <w:rPr>
          <w:bCs/>
        </w:rPr>
        <w:t xml:space="preserve"> përgatit dhe zbaton strategji të shëndet</w:t>
      </w:r>
      <w:r w:rsidR="00D91626" w:rsidRPr="00EA1CA4">
        <w:rPr>
          <w:bCs/>
        </w:rPr>
        <w:t>ësisë</w:t>
      </w:r>
      <w:r w:rsidRPr="00EA1CA4">
        <w:rPr>
          <w:bCs/>
        </w:rPr>
        <w:t xml:space="preserve"> publik</w:t>
      </w:r>
      <w:r w:rsidR="00D91626" w:rsidRPr="00EA1CA4">
        <w:rPr>
          <w:bCs/>
        </w:rPr>
        <w:t>e</w:t>
      </w:r>
      <w:r w:rsidRPr="00EA1CA4">
        <w:rPr>
          <w:bCs/>
        </w:rPr>
        <w:t xml:space="preserve">, duke përfshirë vendosjen e masave </w:t>
      </w:r>
      <w:r w:rsidR="00D91626" w:rsidRPr="00EA1CA4">
        <w:rPr>
          <w:bCs/>
        </w:rPr>
        <w:t>higjiene</w:t>
      </w:r>
      <w:r w:rsidRPr="00EA1CA4">
        <w:rPr>
          <w:bCs/>
        </w:rPr>
        <w:t>-sanitare, profilaksinë, masat kundër epidemi</w:t>
      </w:r>
      <w:r w:rsidR="00D91626" w:rsidRPr="00EA1CA4">
        <w:rPr>
          <w:bCs/>
        </w:rPr>
        <w:t>ologjike</w:t>
      </w:r>
      <w:r w:rsidRPr="00EA1CA4">
        <w:rPr>
          <w:bCs/>
        </w:rPr>
        <w:t>, mediko-sociale, promovimin e shëndetit, shëndet</w:t>
      </w:r>
      <w:r w:rsidR="00D91626" w:rsidRPr="00EA1CA4">
        <w:rPr>
          <w:bCs/>
        </w:rPr>
        <w:t>ësinë</w:t>
      </w:r>
      <w:r w:rsidRPr="00EA1CA4">
        <w:rPr>
          <w:bCs/>
        </w:rPr>
        <w:t>, arsimin, kontrollin e cilësisë së ujit dhe ushqimit, programin e zgjeruar të imunizimit (EPI), politikat shëndetësore dhe ekonominë shëndetësore, sistemin e informacionit shëndetësor. I</w:t>
      </w:r>
      <w:r w:rsidR="00D91626" w:rsidRPr="00EA1CA4">
        <w:rPr>
          <w:bCs/>
        </w:rPr>
        <w:t>K</w:t>
      </w:r>
      <w:r w:rsidRPr="00EA1CA4">
        <w:rPr>
          <w:bCs/>
        </w:rPr>
        <w:t xml:space="preserve"> është qendra referuese në fushën e shëndet</w:t>
      </w:r>
      <w:r w:rsidR="00D91626" w:rsidRPr="00EA1CA4">
        <w:rPr>
          <w:bCs/>
        </w:rPr>
        <w:t>ësisë</w:t>
      </w:r>
      <w:r w:rsidRPr="00EA1CA4">
        <w:rPr>
          <w:bCs/>
        </w:rPr>
        <w:t xml:space="preserve"> publik</w:t>
      </w:r>
      <w:r w:rsidR="00D91626" w:rsidRPr="00EA1CA4">
        <w:rPr>
          <w:bCs/>
        </w:rPr>
        <w:t>e</w:t>
      </w:r>
      <w:r w:rsidRPr="00EA1CA4">
        <w:rPr>
          <w:bCs/>
        </w:rPr>
        <w:t>, për TB, HIV/AIDS dhe IST</w:t>
      </w:r>
      <w:r w:rsidR="005240E4" w:rsidRPr="00EA1CA4">
        <w:t>.</w:t>
      </w:r>
      <w:r w:rsidR="005240E4" w:rsidRPr="00EA1CA4">
        <w:rPr>
          <w:bCs/>
          <w:vertAlign w:val="superscript"/>
        </w:rPr>
        <w:footnoteReference w:id="20"/>
      </w:r>
      <w:r w:rsidR="00D91626" w:rsidRPr="00EA1CA4">
        <w:t xml:space="preserve"> </w:t>
      </w:r>
      <w:r w:rsidRPr="00EA1CA4">
        <w:rPr>
          <w:bCs/>
        </w:rPr>
        <w:t>I</w:t>
      </w:r>
      <w:r w:rsidR="00D91626" w:rsidRPr="00EA1CA4">
        <w:rPr>
          <w:bCs/>
        </w:rPr>
        <w:t>K</w:t>
      </w:r>
      <w:r w:rsidRPr="00EA1CA4">
        <w:rPr>
          <w:bCs/>
        </w:rPr>
        <w:t xml:space="preserve"> mbulon të</w:t>
      </w:r>
      <w:r w:rsidR="00D91626" w:rsidRPr="00EA1CA4">
        <w:rPr>
          <w:bCs/>
        </w:rPr>
        <w:t>rë</w:t>
      </w:r>
      <w:r w:rsidRPr="00EA1CA4">
        <w:rPr>
          <w:bCs/>
        </w:rPr>
        <w:t xml:space="preserve"> territorin e Republikës së Kosovës përmes degëve të saj </w:t>
      </w:r>
      <w:r w:rsidR="00D91626" w:rsidRPr="00EA1CA4">
        <w:rPr>
          <w:bCs/>
        </w:rPr>
        <w:t>–</w:t>
      </w:r>
      <w:r w:rsidRPr="00EA1CA4">
        <w:rPr>
          <w:bCs/>
        </w:rPr>
        <w:t xml:space="preserve"> Institut</w:t>
      </w:r>
      <w:r w:rsidR="00D91626" w:rsidRPr="00EA1CA4">
        <w:rPr>
          <w:bCs/>
        </w:rPr>
        <w:t>et e</w:t>
      </w:r>
      <w:r w:rsidRPr="00EA1CA4">
        <w:rPr>
          <w:bCs/>
        </w:rPr>
        <w:t xml:space="preserve"> Shëndet</w:t>
      </w:r>
      <w:r w:rsidR="00D91626" w:rsidRPr="00EA1CA4">
        <w:rPr>
          <w:bCs/>
        </w:rPr>
        <w:t xml:space="preserve">it </w:t>
      </w:r>
      <w:r w:rsidRPr="00EA1CA4">
        <w:rPr>
          <w:bCs/>
        </w:rPr>
        <w:t>Publik (ISHP)</w:t>
      </w:r>
      <w:r w:rsidR="00D91626" w:rsidRPr="00EA1CA4">
        <w:rPr>
          <w:bCs/>
        </w:rPr>
        <w:t>,</w:t>
      </w:r>
      <w:r w:rsidRPr="00EA1CA4">
        <w:rPr>
          <w:bCs/>
        </w:rPr>
        <w:t xml:space="preserve"> </w:t>
      </w:r>
      <w:r w:rsidR="00D91626" w:rsidRPr="00EA1CA4">
        <w:rPr>
          <w:bCs/>
        </w:rPr>
        <w:t>të</w:t>
      </w:r>
      <w:r w:rsidRPr="00EA1CA4">
        <w:rPr>
          <w:bCs/>
        </w:rPr>
        <w:t xml:space="preserve"> organizuar</w:t>
      </w:r>
      <w:r w:rsidR="00D91626" w:rsidRPr="00EA1CA4">
        <w:rPr>
          <w:bCs/>
        </w:rPr>
        <w:t>a</w:t>
      </w:r>
      <w:r w:rsidRPr="00EA1CA4">
        <w:rPr>
          <w:bCs/>
        </w:rPr>
        <w:t xml:space="preserve"> në 6 Qendra</w:t>
      </w:r>
      <w:r w:rsidR="00D91626" w:rsidRPr="00EA1CA4">
        <w:rPr>
          <w:bCs/>
        </w:rPr>
        <w:t>t</w:t>
      </w:r>
      <w:r w:rsidRPr="00EA1CA4">
        <w:rPr>
          <w:bCs/>
        </w:rPr>
        <w:t xml:space="preserve"> Rajonale: Pejë, Prizren, Mitrovicë, Gjilan, Gjakovë, Ferizaj</w:t>
      </w:r>
      <w:r w:rsidR="005240E4" w:rsidRPr="00EA1CA4">
        <w:rPr>
          <w:bCs/>
        </w:rPr>
        <w:t>.</w:t>
      </w:r>
    </w:p>
    <w:p w:rsidR="005240E4" w:rsidRPr="00EA1CA4" w:rsidRDefault="0029453A" w:rsidP="00624E04">
      <w:pPr>
        <w:spacing w:line="276" w:lineRule="auto"/>
        <w:jc w:val="both"/>
      </w:pPr>
      <w:r w:rsidRPr="00EA1CA4">
        <w:rPr>
          <w:b/>
        </w:rPr>
        <w:t xml:space="preserve">Koordinatorët Qendrorë </w:t>
      </w:r>
      <w:r w:rsidRPr="00EA1CA4">
        <w:t>të Laboratorit</w:t>
      </w:r>
      <w:r w:rsidRPr="00EA1CA4">
        <w:rPr>
          <w:b/>
        </w:rPr>
        <w:t xml:space="preserve"> </w:t>
      </w:r>
      <w:r w:rsidRPr="00EA1CA4">
        <w:t>dhe R</w:t>
      </w:r>
      <w:r w:rsidR="00D91626" w:rsidRPr="00EA1CA4">
        <w:t>dhe</w:t>
      </w:r>
      <w:r w:rsidRPr="00EA1CA4">
        <w:t>R në Institutin Kombëtar të Shëndet</w:t>
      </w:r>
      <w:r w:rsidR="00D91626" w:rsidRPr="00EA1CA4">
        <w:t>ësisë</w:t>
      </w:r>
      <w:r w:rsidRPr="00EA1CA4">
        <w:t xml:space="preserve"> Publik</w:t>
      </w:r>
      <w:r w:rsidR="00D91626" w:rsidRPr="00EA1CA4">
        <w:t>e</w:t>
      </w:r>
      <w:r w:rsidRPr="00EA1CA4">
        <w:t xml:space="preserve"> (I) janë përgjegjës për raportimin e të dhënave, si dhe për Kontrollin e Infeksionit, Promovimin dhe Edukimin Shëndetësor, Kërkimin dhe </w:t>
      </w:r>
      <w:r w:rsidR="00D91626" w:rsidRPr="00EA1CA4">
        <w:t>R</w:t>
      </w:r>
      <w:r w:rsidRPr="00EA1CA4">
        <w:t>aportimin e të dhënave të grumbulluara kombëtare</w:t>
      </w:r>
      <w:r w:rsidR="005240E4" w:rsidRPr="00EA1CA4">
        <w:t>.</w:t>
      </w:r>
    </w:p>
    <w:p w:rsidR="005240E4" w:rsidRPr="00EA1CA4" w:rsidRDefault="0029453A" w:rsidP="00624E04">
      <w:pPr>
        <w:spacing w:line="276" w:lineRule="auto"/>
        <w:jc w:val="both"/>
      </w:pPr>
      <w:r w:rsidRPr="00EA1CA4">
        <w:rPr>
          <w:b/>
        </w:rPr>
        <w:t xml:space="preserve">Koordinatorët Rajonalë të TB - </w:t>
      </w:r>
      <w:r w:rsidRPr="00EA1CA4">
        <w:t xml:space="preserve">janë pjesë e Njësive për Sëmundjet e Mushkërive dhe TB, Klinikat e Mushkërive të Spitaleve të Përgjithshme (Rajonale) dhe janë përgjegjës për të monitoruar kujdesin dhe parandalimin e TB në rajonet e tyre përkatëse dhe </w:t>
      </w:r>
      <w:r w:rsidR="00D91626" w:rsidRPr="00EA1CA4">
        <w:t xml:space="preserve">për </w:t>
      </w:r>
      <w:r w:rsidRPr="00EA1CA4">
        <w:t>raportimin e të dhënave në nivel rajonal</w:t>
      </w:r>
      <w:r w:rsidR="005240E4" w:rsidRPr="00EA1CA4">
        <w:t>.</w:t>
      </w:r>
    </w:p>
    <w:p w:rsidR="005240E4" w:rsidRPr="00EA1CA4" w:rsidRDefault="0029453A" w:rsidP="00624E04">
      <w:pPr>
        <w:spacing w:line="276" w:lineRule="auto"/>
        <w:jc w:val="both"/>
      </w:pPr>
      <w:bookmarkStart w:id="38" w:name="_Ref82605470"/>
      <w:r w:rsidRPr="00EA1CA4">
        <w:t>Kujdesi për TB organizohet në tr</w:t>
      </w:r>
      <w:r w:rsidR="00D91626" w:rsidRPr="00EA1CA4">
        <w:t>i</w:t>
      </w:r>
      <w:r w:rsidRPr="00EA1CA4">
        <w:t xml:space="preserve"> nivele; Terciar/qendror, </w:t>
      </w:r>
      <w:r w:rsidR="008C4DA5" w:rsidRPr="00EA1CA4">
        <w:t>Dytësor</w:t>
      </w:r>
      <w:r w:rsidRPr="00EA1CA4">
        <w:t xml:space="preserve">/rajonal dhe </w:t>
      </w:r>
      <w:r w:rsidR="008A727A" w:rsidRPr="00EA1CA4">
        <w:t>P</w:t>
      </w:r>
      <w:r w:rsidR="008C4DA5" w:rsidRPr="00EA1CA4">
        <w:t>arësor</w:t>
      </w:r>
      <w:r w:rsidRPr="00EA1CA4">
        <w:t xml:space="preserve">/komunal. Programi kombëtar </w:t>
      </w:r>
      <w:r w:rsidR="008A727A" w:rsidRPr="00EA1CA4">
        <w:t>kundër</w:t>
      </w:r>
      <w:r w:rsidRPr="00EA1CA4">
        <w:t xml:space="preserve"> TB</w:t>
      </w:r>
      <w:r w:rsidR="008A727A" w:rsidRPr="00EA1CA4">
        <w:t>-së</w:t>
      </w:r>
      <w:r w:rsidRPr="00EA1CA4">
        <w:t xml:space="preserve"> operon nëpërmjet institucioneve të mëposhtme në nivele të ndryshme</w:t>
      </w:r>
      <w:r w:rsidR="005240E4" w:rsidRPr="00EA1CA4">
        <w:rPr>
          <w:rStyle w:val="FootnoteReference"/>
        </w:rPr>
        <w:footnoteReference w:id="21"/>
      </w:r>
      <w:bookmarkEnd w:id="38"/>
      <w:r w:rsidR="005240E4" w:rsidRPr="00EA1CA4">
        <w:t>:</w:t>
      </w:r>
    </w:p>
    <w:p w:rsidR="00AC60C6" w:rsidRPr="00EA1CA4" w:rsidRDefault="005A2D2E">
      <w:pPr>
        <w:pStyle w:val="ListParagraph"/>
        <w:numPr>
          <w:ilvl w:val="0"/>
          <w:numId w:val="3"/>
        </w:numPr>
        <w:spacing w:before="120" w:after="120" w:line="276" w:lineRule="auto"/>
        <w:jc w:val="both"/>
        <w:rPr>
          <w:rFonts w:ascii="Times New Roman" w:hAnsi="Times New Roman"/>
          <w:sz w:val="24"/>
          <w:szCs w:val="24"/>
          <w:lang w:val="sq-AL"/>
        </w:rPr>
      </w:pPr>
      <w:r w:rsidRPr="00EA1CA4">
        <w:rPr>
          <w:rFonts w:ascii="Times New Roman" w:hAnsi="Times New Roman"/>
          <w:b/>
          <w:sz w:val="24"/>
          <w:szCs w:val="24"/>
          <w:lang w:val="sq-AL"/>
        </w:rPr>
        <w:t>Në nivelin qendror – KSh</w:t>
      </w:r>
      <w:r w:rsidR="0029453A" w:rsidRPr="00EA1CA4">
        <w:rPr>
          <w:rFonts w:ascii="Times New Roman" w:hAnsi="Times New Roman"/>
          <w:b/>
          <w:sz w:val="24"/>
          <w:szCs w:val="24"/>
          <w:lang w:val="sq-AL"/>
        </w:rPr>
        <w:t xml:space="preserve">T (Kujdesi </w:t>
      </w:r>
      <w:r w:rsidR="008A727A" w:rsidRPr="00EA1CA4">
        <w:rPr>
          <w:rFonts w:ascii="Times New Roman" w:hAnsi="Times New Roman"/>
          <w:b/>
          <w:sz w:val="24"/>
          <w:szCs w:val="24"/>
          <w:lang w:val="sq-AL"/>
        </w:rPr>
        <w:t xml:space="preserve">Shëndetësor </w:t>
      </w:r>
      <w:r w:rsidR="0029453A" w:rsidRPr="00EA1CA4">
        <w:rPr>
          <w:rFonts w:ascii="Times New Roman" w:hAnsi="Times New Roman"/>
          <w:b/>
          <w:sz w:val="24"/>
          <w:szCs w:val="24"/>
          <w:lang w:val="sq-AL"/>
        </w:rPr>
        <w:t xml:space="preserve">Terciar) </w:t>
      </w:r>
      <w:r w:rsidR="0029453A" w:rsidRPr="00EA1CA4">
        <w:rPr>
          <w:rFonts w:ascii="Times New Roman" w:hAnsi="Times New Roman"/>
          <w:sz w:val="24"/>
          <w:szCs w:val="24"/>
          <w:lang w:val="sq-AL"/>
        </w:rPr>
        <w:t>funksionet e PKTB-së menaxhohen përmes këtyre institucioneve shëndetësore referuese: Instituti Kombëtar i Shëndet</w:t>
      </w:r>
      <w:r w:rsidR="008A727A" w:rsidRPr="00EA1CA4">
        <w:rPr>
          <w:rFonts w:ascii="Times New Roman" w:hAnsi="Times New Roman"/>
          <w:sz w:val="24"/>
          <w:szCs w:val="24"/>
          <w:lang w:val="sq-AL"/>
        </w:rPr>
        <w:t>ësisë</w:t>
      </w:r>
      <w:r w:rsidR="0029453A" w:rsidRPr="00EA1CA4">
        <w:rPr>
          <w:rFonts w:ascii="Times New Roman" w:hAnsi="Times New Roman"/>
          <w:sz w:val="24"/>
          <w:szCs w:val="24"/>
          <w:lang w:val="sq-AL"/>
        </w:rPr>
        <w:t xml:space="preserve"> Publik</w:t>
      </w:r>
      <w:r w:rsidR="008A727A" w:rsidRPr="00EA1CA4">
        <w:rPr>
          <w:rFonts w:ascii="Times New Roman" w:hAnsi="Times New Roman"/>
          <w:sz w:val="24"/>
          <w:szCs w:val="24"/>
          <w:lang w:val="sq-AL"/>
        </w:rPr>
        <w:t>e</w:t>
      </w:r>
      <w:r w:rsidR="0029453A" w:rsidRPr="00EA1CA4">
        <w:rPr>
          <w:rFonts w:ascii="Times New Roman" w:hAnsi="Times New Roman"/>
          <w:sz w:val="24"/>
          <w:szCs w:val="24"/>
          <w:lang w:val="sq-AL"/>
        </w:rPr>
        <w:t xml:space="preserve">, Klinika e </w:t>
      </w:r>
      <w:r w:rsidR="0029453A" w:rsidRPr="00EA1CA4">
        <w:rPr>
          <w:rFonts w:ascii="Times New Roman" w:hAnsi="Times New Roman"/>
          <w:sz w:val="24"/>
          <w:szCs w:val="24"/>
          <w:lang w:val="sq-AL"/>
        </w:rPr>
        <w:lastRenderedPageBreak/>
        <w:t xml:space="preserve">Mushkërive dhe Klinika e Pediatrisë </w:t>
      </w:r>
      <w:r w:rsidR="008A727A" w:rsidRPr="00EA1CA4">
        <w:rPr>
          <w:rFonts w:ascii="Times New Roman" w:hAnsi="Times New Roman"/>
          <w:sz w:val="24"/>
          <w:szCs w:val="24"/>
          <w:lang w:val="sq-AL"/>
        </w:rPr>
        <w:t>s</w:t>
      </w:r>
      <w:r w:rsidR="0029453A" w:rsidRPr="00EA1CA4">
        <w:rPr>
          <w:rFonts w:ascii="Times New Roman" w:hAnsi="Times New Roman"/>
          <w:sz w:val="24"/>
          <w:szCs w:val="24"/>
          <w:lang w:val="sq-AL"/>
        </w:rPr>
        <w:t xml:space="preserve">ë Qendrës Klinike Universitare të Kosovës, Njësia MRD/TB e Spitalit të Përgjithshëm të Pejës për menaxhimin e rasteve </w:t>
      </w:r>
      <w:r w:rsidR="008A727A" w:rsidRPr="00EA1CA4">
        <w:rPr>
          <w:rFonts w:ascii="Times New Roman" w:hAnsi="Times New Roman"/>
          <w:sz w:val="24"/>
          <w:szCs w:val="24"/>
          <w:lang w:val="sq-AL"/>
        </w:rPr>
        <w:t xml:space="preserve">me </w:t>
      </w:r>
      <w:r w:rsidR="0029453A" w:rsidRPr="00EA1CA4">
        <w:rPr>
          <w:rFonts w:ascii="Times New Roman" w:hAnsi="Times New Roman"/>
          <w:sz w:val="24"/>
          <w:szCs w:val="24"/>
          <w:lang w:val="sq-AL"/>
        </w:rPr>
        <w:t>MRD-TB</w:t>
      </w:r>
      <w:r w:rsidR="005240E4" w:rsidRPr="00EA1CA4">
        <w:rPr>
          <w:rFonts w:ascii="Times New Roman" w:hAnsi="Times New Roman"/>
          <w:sz w:val="24"/>
          <w:szCs w:val="24"/>
          <w:lang w:val="sq-AL"/>
        </w:rPr>
        <w:t xml:space="preserve">. </w:t>
      </w:r>
    </w:p>
    <w:p w:rsidR="005240E4" w:rsidRPr="00EA1CA4" w:rsidRDefault="0029453A">
      <w:pPr>
        <w:pStyle w:val="ListParagraph"/>
        <w:numPr>
          <w:ilvl w:val="0"/>
          <w:numId w:val="3"/>
        </w:numPr>
        <w:spacing w:before="120" w:after="120" w:line="276" w:lineRule="auto"/>
        <w:jc w:val="both"/>
        <w:rPr>
          <w:rFonts w:ascii="Times New Roman" w:hAnsi="Times New Roman"/>
          <w:sz w:val="24"/>
          <w:szCs w:val="24"/>
          <w:lang w:val="sq-AL"/>
        </w:rPr>
      </w:pPr>
      <w:r w:rsidRPr="00EA1CA4">
        <w:rPr>
          <w:rFonts w:ascii="Times New Roman" w:hAnsi="Times New Roman"/>
          <w:b/>
          <w:sz w:val="24"/>
          <w:szCs w:val="24"/>
          <w:lang w:val="sq-AL"/>
        </w:rPr>
        <w:t>Në nivel rajonal - KS</w:t>
      </w:r>
      <w:r w:rsidR="005A2D2E" w:rsidRPr="00EA1CA4">
        <w:rPr>
          <w:rFonts w:ascii="Times New Roman" w:hAnsi="Times New Roman"/>
          <w:b/>
          <w:sz w:val="24"/>
          <w:szCs w:val="24"/>
          <w:lang w:val="sq-AL"/>
        </w:rPr>
        <w:t>hD</w:t>
      </w:r>
      <w:r w:rsidRPr="00EA1CA4">
        <w:rPr>
          <w:rFonts w:ascii="Times New Roman" w:hAnsi="Times New Roman"/>
          <w:b/>
          <w:sz w:val="24"/>
          <w:szCs w:val="24"/>
          <w:lang w:val="sq-AL"/>
        </w:rPr>
        <w:t xml:space="preserve"> (Kujdesi </w:t>
      </w:r>
      <w:r w:rsidR="008A727A" w:rsidRPr="00EA1CA4">
        <w:rPr>
          <w:rFonts w:ascii="Times New Roman" w:hAnsi="Times New Roman"/>
          <w:b/>
          <w:sz w:val="24"/>
          <w:szCs w:val="24"/>
          <w:lang w:val="sq-AL"/>
        </w:rPr>
        <w:t>S</w:t>
      </w:r>
      <w:r w:rsidRPr="00EA1CA4">
        <w:rPr>
          <w:rFonts w:ascii="Times New Roman" w:hAnsi="Times New Roman"/>
          <w:b/>
          <w:sz w:val="24"/>
          <w:szCs w:val="24"/>
          <w:lang w:val="sq-AL"/>
        </w:rPr>
        <w:t>hëndetësor</w:t>
      </w:r>
      <w:r w:rsidR="008A727A" w:rsidRPr="00EA1CA4">
        <w:rPr>
          <w:rFonts w:ascii="Times New Roman" w:hAnsi="Times New Roman"/>
          <w:b/>
          <w:sz w:val="24"/>
          <w:szCs w:val="24"/>
          <w:lang w:val="sq-AL"/>
        </w:rPr>
        <w:t xml:space="preserve"> </w:t>
      </w:r>
      <w:r w:rsidR="005A2D2E" w:rsidRPr="00EA1CA4">
        <w:rPr>
          <w:rFonts w:ascii="Times New Roman" w:hAnsi="Times New Roman"/>
          <w:b/>
          <w:sz w:val="24"/>
          <w:szCs w:val="24"/>
          <w:lang w:val="sq-AL"/>
        </w:rPr>
        <w:t>Dytësor</w:t>
      </w:r>
      <w:r w:rsidRPr="00EA1CA4">
        <w:rPr>
          <w:rFonts w:ascii="Times New Roman" w:hAnsi="Times New Roman"/>
          <w:b/>
          <w:sz w:val="24"/>
          <w:szCs w:val="24"/>
          <w:lang w:val="sq-AL"/>
        </w:rPr>
        <w:t xml:space="preserve">) </w:t>
      </w:r>
      <w:r w:rsidRPr="00EA1CA4">
        <w:rPr>
          <w:rFonts w:ascii="Times New Roman" w:hAnsi="Times New Roman"/>
          <w:sz w:val="24"/>
          <w:szCs w:val="24"/>
          <w:lang w:val="sq-AL"/>
        </w:rPr>
        <w:t>funksionet e PKTB-së menaxhohen përmes këtyre institucioneve shëndetësore: 5 klinika të mushkërive janë shërbime të specializuara (</w:t>
      </w:r>
      <w:r w:rsidR="008A727A" w:rsidRPr="00EA1CA4">
        <w:rPr>
          <w:rFonts w:ascii="Times New Roman" w:hAnsi="Times New Roman"/>
          <w:sz w:val="24"/>
          <w:szCs w:val="24"/>
          <w:lang w:val="sq-AL"/>
        </w:rPr>
        <w:t>Dispanseria</w:t>
      </w:r>
      <w:r w:rsidRPr="00EA1CA4">
        <w:rPr>
          <w:rFonts w:ascii="Times New Roman" w:hAnsi="Times New Roman"/>
          <w:sz w:val="24"/>
          <w:szCs w:val="24"/>
          <w:lang w:val="sq-AL"/>
        </w:rPr>
        <w:t xml:space="preserve"> për TB) në Spitalet e Përgjithshme Pejë, Prizren, Gjakovë, Gjilan</w:t>
      </w:r>
      <w:r w:rsidR="005240E4" w:rsidRPr="00EA1CA4">
        <w:rPr>
          <w:rFonts w:ascii="Times New Roman" w:hAnsi="Times New Roman"/>
          <w:sz w:val="24"/>
          <w:szCs w:val="24"/>
          <w:lang w:val="sq-AL"/>
        </w:rPr>
        <w:t xml:space="preserve">, </w:t>
      </w:r>
      <w:r w:rsidR="007F202C" w:rsidRPr="00EA1CA4">
        <w:rPr>
          <w:rFonts w:ascii="Times New Roman" w:hAnsi="Times New Roman"/>
          <w:sz w:val="24"/>
          <w:szCs w:val="24"/>
          <w:lang w:val="sq-AL"/>
        </w:rPr>
        <w:t>dhe Shërbimi Shëndetësor i Burgjeve</w:t>
      </w:r>
      <w:r w:rsidR="005240E4" w:rsidRPr="00EA1CA4">
        <w:rPr>
          <w:rFonts w:ascii="Times New Roman" w:hAnsi="Times New Roman"/>
          <w:sz w:val="24"/>
          <w:szCs w:val="24"/>
          <w:lang w:val="sq-AL"/>
        </w:rPr>
        <w:t xml:space="preserve">. </w:t>
      </w:r>
      <w:r w:rsidR="007F202C" w:rsidRPr="00EA1CA4">
        <w:rPr>
          <w:rFonts w:ascii="Times New Roman" w:hAnsi="Times New Roman"/>
          <w:sz w:val="24"/>
          <w:szCs w:val="24"/>
          <w:lang w:val="sq-AL"/>
        </w:rPr>
        <w:t>Në këto nivele</w:t>
      </w:r>
      <w:r w:rsidR="008A727A" w:rsidRPr="00EA1CA4">
        <w:rPr>
          <w:rFonts w:ascii="Times New Roman" w:hAnsi="Times New Roman"/>
          <w:sz w:val="24"/>
          <w:szCs w:val="24"/>
          <w:lang w:val="sq-AL"/>
        </w:rPr>
        <w:t>,</w:t>
      </w:r>
      <w:r w:rsidR="007F202C" w:rsidRPr="00EA1CA4">
        <w:rPr>
          <w:rFonts w:ascii="Times New Roman" w:hAnsi="Times New Roman"/>
          <w:sz w:val="24"/>
          <w:szCs w:val="24"/>
          <w:lang w:val="sq-AL"/>
        </w:rPr>
        <w:t xml:space="preserve"> aktivitetet e TB-së mbikëqyren nga koordinatorët rajonalë </w:t>
      </w:r>
      <w:r w:rsidR="008A727A" w:rsidRPr="00EA1CA4">
        <w:rPr>
          <w:rFonts w:ascii="Times New Roman" w:hAnsi="Times New Roman"/>
          <w:sz w:val="24"/>
          <w:szCs w:val="24"/>
          <w:lang w:val="sq-AL"/>
        </w:rPr>
        <w:t xml:space="preserve">të cilët </w:t>
      </w:r>
      <w:r w:rsidR="007F202C" w:rsidRPr="00EA1CA4">
        <w:rPr>
          <w:rFonts w:ascii="Times New Roman" w:hAnsi="Times New Roman"/>
          <w:sz w:val="24"/>
          <w:szCs w:val="24"/>
          <w:lang w:val="sq-AL"/>
        </w:rPr>
        <w:t>dorëzo</w:t>
      </w:r>
      <w:r w:rsidR="008A727A" w:rsidRPr="00EA1CA4">
        <w:rPr>
          <w:rFonts w:ascii="Times New Roman" w:hAnsi="Times New Roman"/>
          <w:sz w:val="24"/>
          <w:szCs w:val="24"/>
          <w:lang w:val="sq-AL"/>
        </w:rPr>
        <w:t>j</w:t>
      </w:r>
      <w:r w:rsidR="007F202C" w:rsidRPr="00EA1CA4">
        <w:rPr>
          <w:rFonts w:ascii="Times New Roman" w:hAnsi="Times New Roman"/>
          <w:sz w:val="24"/>
          <w:szCs w:val="24"/>
          <w:lang w:val="sq-AL"/>
        </w:rPr>
        <w:t>n</w:t>
      </w:r>
      <w:r w:rsidR="008A727A" w:rsidRPr="00EA1CA4">
        <w:rPr>
          <w:rFonts w:ascii="Times New Roman" w:hAnsi="Times New Roman"/>
          <w:sz w:val="24"/>
          <w:szCs w:val="24"/>
          <w:lang w:val="sq-AL"/>
        </w:rPr>
        <w:t>ë</w:t>
      </w:r>
      <w:r w:rsidR="007F202C" w:rsidRPr="00EA1CA4">
        <w:rPr>
          <w:rFonts w:ascii="Times New Roman" w:hAnsi="Times New Roman"/>
          <w:sz w:val="24"/>
          <w:szCs w:val="24"/>
          <w:lang w:val="sq-AL"/>
        </w:rPr>
        <w:t xml:space="preserve"> raporte mujore dhe tremujore te</w:t>
      </w:r>
      <w:r w:rsidR="008A727A" w:rsidRPr="00EA1CA4">
        <w:rPr>
          <w:rFonts w:ascii="Times New Roman" w:hAnsi="Times New Roman"/>
          <w:sz w:val="24"/>
          <w:szCs w:val="24"/>
          <w:lang w:val="sq-AL"/>
        </w:rPr>
        <w:t>k</w:t>
      </w:r>
      <w:r w:rsidR="007F202C" w:rsidRPr="00EA1CA4">
        <w:rPr>
          <w:rFonts w:ascii="Times New Roman" w:hAnsi="Times New Roman"/>
          <w:sz w:val="24"/>
          <w:szCs w:val="24"/>
          <w:lang w:val="sq-AL"/>
        </w:rPr>
        <w:t xml:space="preserve"> Koordinatorja Kombëtare e TB </w:t>
      </w:r>
      <w:r w:rsidR="008A727A" w:rsidRPr="00EA1CA4">
        <w:rPr>
          <w:rFonts w:ascii="Times New Roman" w:hAnsi="Times New Roman"/>
          <w:sz w:val="24"/>
          <w:szCs w:val="24"/>
          <w:lang w:val="sq-AL"/>
        </w:rPr>
        <w:t>pra</w:t>
      </w:r>
      <w:r w:rsidR="007F202C" w:rsidRPr="00EA1CA4">
        <w:rPr>
          <w:rFonts w:ascii="Times New Roman" w:hAnsi="Times New Roman"/>
          <w:sz w:val="24"/>
          <w:szCs w:val="24"/>
          <w:lang w:val="sq-AL"/>
        </w:rPr>
        <w:t xml:space="preserve">në MSH, si dhe Koordinatorja Kombëtare e TB për Regjistrim dhe Raportim </w:t>
      </w:r>
      <w:r w:rsidR="008A727A" w:rsidRPr="00EA1CA4">
        <w:rPr>
          <w:rFonts w:ascii="Times New Roman" w:hAnsi="Times New Roman"/>
          <w:sz w:val="24"/>
          <w:szCs w:val="24"/>
          <w:lang w:val="sq-AL"/>
        </w:rPr>
        <w:t>pra</w:t>
      </w:r>
      <w:r w:rsidR="007F202C" w:rsidRPr="00EA1CA4">
        <w:rPr>
          <w:rFonts w:ascii="Times New Roman" w:hAnsi="Times New Roman"/>
          <w:sz w:val="24"/>
          <w:szCs w:val="24"/>
          <w:lang w:val="sq-AL"/>
        </w:rPr>
        <w:t>në I</w:t>
      </w:r>
      <w:r w:rsidR="007A0591" w:rsidRPr="00EA1CA4">
        <w:rPr>
          <w:rFonts w:ascii="Times New Roman" w:hAnsi="Times New Roman"/>
          <w:sz w:val="24"/>
          <w:szCs w:val="24"/>
          <w:lang w:val="sq-AL"/>
        </w:rPr>
        <w:t>KPSh</w:t>
      </w:r>
      <w:r w:rsidR="008A727A" w:rsidRPr="00EA1CA4">
        <w:rPr>
          <w:rFonts w:ascii="Times New Roman" w:hAnsi="Times New Roman"/>
          <w:sz w:val="24"/>
          <w:szCs w:val="24"/>
          <w:lang w:val="sq-AL"/>
        </w:rPr>
        <w:t>-së</w:t>
      </w:r>
      <w:r w:rsidR="005240E4" w:rsidRPr="00EA1CA4">
        <w:rPr>
          <w:rFonts w:ascii="Times New Roman" w:hAnsi="Times New Roman"/>
          <w:sz w:val="24"/>
          <w:szCs w:val="24"/>
          <w:lang w:val="sq-AL"/>
        </w:rPr>
        <w:t xml:space="preserve">.  </w:t>
      </w:r>
    </w:p>
    <w:p w:rsidR="005240E4" w:rsidRPr="00EA1CA4" w:rsidRDefault="007F202C">
      <w:pPr>
        <w:pStyle w:val="ListParagraph"/>
        <w:numPr>
          <w:ilvl w:val="0"/>
          <w:numId w:val="3"/>
        </w:numPr>
        <w:spacing w:before="120" w:after="120" w:line="276" w:lineRule="auto"/>
        <w:jc w:val="both"/>
        <w:rPr>
          <w:rFonts w:ascii="Times New Roman" w:hAnsi="Times New Roman"/>
          <w:sz w:val="24"/>
          <w:szCs w:val="24"/>
          <w:lang w:val="sq-AL"/>
        </w:rPr>
      </w:pPr>
      <w:r w:rsidRPr="00EA1CA4">
        <w:rPr>
          <w:rFonts w:ascii="Times New Roman" w:hAnsi="Times New Roman"/>
          <w:b/>
          <w:sz w:val="24"/>
          <w:szCs w:val="24"/>
          <w:lang w:val="sq-AL"/>
        </w:rPr>
        <w:t xml:space="preserve">Në nivel komunal -  (Kujdesi </w:t>
      </w:r>
      <w:r w:rsidR="008A727A" w:rsidRPr="00EA1CA4">
        <w:rPr>
          <w:rFonts w:ascii="Times New Roman" w:hAnsi="Times New Roman"/>
          <w:b/>
          <w:sz w:val="24"/>
          <w:szCs w:val="24"/>
          <w:lang w:val="sq-AL"/>
        </w:rPr>
        <w:t xml:space="preserve">Shëndetësor </w:t>
      </w:r>
      <w:r w:rsidRPr="00EA1CA4">
        <w:rPr>
          <w:rFonts w:ascii="Times New Roman" w:hAnsi="Times New Roman"/>
          <w:b/>
          <w:sz w:val="24"/>
          <w:szCs w:val="24"/>
          <w:lang w:val="sq-AL"/>
        </w:rPr>
        <w:t>P</w:t>
      </w:r>
      <w:r w:rsidR="005A2D2E" w:rsidRPr="00EA1CA4">
        <w:rPr>
          <w:rFonts w:ascii="Times New Roman" w:hAnsi="Times New Roman"/>
          <w:b/>
          <w:sz w:val="24"/>
          <w:szCs w:val="24"/>
          <w:lang w:val="sq-AL"/>
        </w:rPr>
        <w:t>arësor</w:t>
      </w:r>
      <w:r w:rsidRPr="00EA1CA4">
        <w:rPr>
          <w:rFonts w:ascii="Times New Roman" w:hAnsi="Times New Roman"/>
          <w:b/>
          <w:sz w:val="24"/>
          <w:szCs w:val="24"/>
          <w:lang w:val="sq-AL"/>
        </w:rPr>
        <w:t xml:space="preserve">) </w:t>
      </w:r>
      <w:r w:rsidRPr="00EA1CA4">
        <w:rPr>
          <w:rFonts w:ascii="Times New Roman" w:hAnsi="Times New Roman"/>
          <w:sz w:val="24"/>
          <w:szCs w:val="24"/>
          <w:lang w:val="sq-AL"/>
        </w:rPr>
        <w:t xml:space="preserve">PKTB operon përmes Njësive për Sëmundje të Mushkërive dhe TB të Qendrave Kryesore të Mjekësisë Familjare, (Prishtinë, Mitrovicë, Ferizaj, Podujevë, </w:t>
      </w:r>
      <w:r w:rsidR="008A727A" w:rsidRPr="00EA1CA4">
        <w:rPr>
          <w:rFonts w:ascii="Times New Roman" w:hAnsi="Times New Roman"/>
          <w:sz w:val="24"/>
          <w:szCs w:val="24"/>
          <w:lang w:val="sq-AL"/>
        </w:rPr>
        <w:t>Lipjan</w:t>
      </w:r>
      <w:r w:rsidRPr="00EA1CA4">
        <w:rPr>
          <w:rFonts w:ascii="Times New Roman" w:hAnsi="Times New Roman"/>
          <w:sz w:val="24"/>
          <w:szCs w:val="24"/>
          <w:lang w:val="sq-AL"/>
        </w:rPr>
        <w:t xml:space="preserve">, Klinë, Skenderaj) dhe rrjetit të shërbimeve të </w:t>
      </w:r>
      <w:r w:rsidR="00981C51" w:rsidRPr="00EA1CA4">
        <w:rPr>
          <w:rFonts w:ascii="Times New Roman" w:hAnsi="Times New Roman"/>
          <w:sz w:val="24"/>
          <w:szCs w:val="24"/>
          <w:lang w:val="sq-AL"/>
        </w:rPr>
        <w:t>KSHP</w:t>
      </w:r>
      <w:r w:rsidRPr="00EA1CA4">
        <w:rPr>
          <w:rFonts w:ascii="Times New Roman" w:hAnsi="Times New Roman"/>
          <w:sz w:val="24"/>
          <w:szCs w:val="24"/>
          <w:lang w:val="sq-AL"/>
        </w:rPr>
        <w:t xml:space="preserve">-së – Qendrat </w:t>
      </w:r>
      <w:r w:rsidR="008A727A" w:rsidRPr="00EA1CA4">
        <w:rPr>
          <w:rFonts w:ascii="Times New Roman" w:hAnsi="Times New Roman"/>
          <w:sz w:val="24"/>
          <w:szCs w:val="24"/>
          <w:lang w:val="sq-AL"/>
        </w:rPr>
        <w:t>K</w:t>
      </w:r>
      <w:r w:rsidRPr="00EA1CA4">
        <w:rPr>
          <w:rFonts w:ascii="Times New Roman" w:hAnsi="Times New Roman"/>
          <w:sz w:val="24"/>
          <w:szCs w:val="24"/>
          <w:lang w:val="sq-AL"/>
        </w:rPr>
        <w:t>ryesore të Mjekësisë Familjare të 29 komunave</w:t>
      </w:r>
      <w:r w:rsidR="005240E4" w:rsidRPr="00EA1CA4">
        <w:rPr>
          <w:rFonts w:ascii="Times New Roman" w:hAnsi="Times New Roman"/>
          <w:sz w:val="24"/>
          <w:szCs w:val="24"/>
          <w:lang w:val="sq-AL"/>
        </w:rPr>
        <w:t xml:space="preserve">. </w:t>
      </w:r>
    </w:p>
    <w:p w:rsidR="005240E4" w:rsidRPr="00EA1CA4" w:rsidRDefault="00911D6F" w:rsidP="00624E04">
      <w:pPr>
        <w:spacing w:line="276" w:lineRule="auto"/>
        <w:jc w:val="both"/>
        <w:rPr>
          <w:lang w:eastAsia="en-US"/>
        </w:rPr>
      </w:pPr>
      <w:r w:rsidRPr="00EA1CA4">
        <w:rPr>
          <w:b/>
        </w:rPr>
        <w:t>Mekanizmi i K</w:t>
      </w:r>
      <w:r w:rsidR="007F202C" w:rsidRPr="00EA1CA4">
        <w:rPr>
          <w:b/>
        </w:rPr>
        <w:t>oordin</w:t>
      </w:r>
      <w:r w:rsidR="00BE6E3D" w:rsidRPr="00EA1CA4">
        <w:rPr>
          <w:b/>
        </w:rPr>
        <w:t>ues</w:t>
      </w:r>
      <w:r w:rsidRPr="00EA1CA4">
        <w:rPr>
          <w:b/>
        </w:rPr>
        <w:t xml:space="preserve"> </w:t>
      </w:r>
      <w:r w:rsidR="00BE6E3D" w:rsidRPr="00EA1CA4">
        <w:rPr>
          <w:b/>
        </w:rPr>
        <w:t>i Kosovës për HIV&amp;TB (MKK për HIV&amp;TB</w:t>
      </w:r>
      <w:r w:rsidR="007F202C" w:rsidRPr="00EA1CA4">
        <w:rPr>
          <w:b/>
        </w:rPr>
        <w:t xml:space="preserve">) </w:t>
      </w:r>
      <w:r w:rsidR="007F202C" w:rsidRPr="00EA1CA4">
        <w:t>është organi kryesor koordinues për programet e TB dhe HIV të financuara nga FG, dhe siguron përfaqësim të një game të gjerë të palëve të interesuara nga qeveria dhe sektori joqeveritar dhe komunitetet e prekura</w:t>
      </w:r>
      <w:r w:rsidR="005240E4" w:rsidRPr="00EA1CA4">
        <w:t xml:space="preserve">. </w:t>
      </w:r>
    </w:p>
    <w:p w:rsidR="00DA78D3" w:rsidRPr="00EA1CA4" w:rsidRDefault="00DA78D3" w:rsidP="00624E04">
      <w:pPr>
        <w:spacing w:line="276" w:lineRule="auto"/>
        <w:jc w:val="both"/>
        <w:rPr>
          <w:lang w:eastAsia="en-US"/>
        </w:rPr>
      </w:pPr>
    </w:p>
    <w:p w:rsidR="005240E4" w:rsidRPr="00EA1CA4" w:rsidRDefault="00BE6E3D" w:rsidP="00DA78D3">
      <w:pPr>
        <w:rPr>
          <w:b/>
        </w:rPr>
      </w:pPr>
      <w:bookmarkStart w:id="39" w:name="_Toc93005236"/>
      <w:bookmarkStart w:id="40" w:name="_Toc93072909"/>
      <w:bookmarkStart w:id="41" w:name="_Toc492917035"/>
      <w:r w:rsidRPr="00EA1CA4">
        <w:rPr>
          <w:b/>
        </w:rPr>
        <w:t>6.2</w:t>
      </w:r>
      <w:r w:rsidR="00FB5CF3" w:rsidRPr="00EA1CA4">
        <w:rPr>
          <w:b/>
        </w:rPr>
        <w:t xml:space="preserve"> </w:t>
      </w:r>
      <w:bookmarkEnd w:id="39"/>
      <w:bookmarkEnd w:id="40"/>
      <w:r w:rsidR="00212EBC" w:rsidRPr="00EA1CA4">
        <w:rPr>
          <w:b/>
        </w:rPr>
        <w:t xml:space="preserve"> </w:t>
      </w:r>
      <w:r w:rsidRPr="00EA1CA4">
        <w:rPr>
          <w:b/>
        </w:rPr>
        <w:t>Monitorimi, Vler</w:t>
      </w:r>
      <w:r w:rsidR="00212EBC" w:rsidRPr="00EA1CA4">
        <w:rPr>
          <w:b/>
        </w:rPr>
        <w:t>ë</w:t>
      </w:r>
      <w:r w:rsidRPr="00EA1CA4">
        <w:rPr>
          <w:b/>
        </w:rPr>
        <w:t xml:space="preserve">simi dhe </w:t>
      </w:r>
      <w:r w:rsidR="00BC7956" w:rsidRPr="00EA1CA4">
        <w:rPr>
          <w:b/>
        </w:rPr>
        <w:t xml:space="preserve">Raportimi </w:t>
      </w:r>
      <w:r w:rsidRPr="00EA1CA4">
        <w:rPr>
          <w:b/>
        </w:rPr>
        <w:t>i</w:t>
      </w:r>
      <w:r w:rsidR="00911D6F" w:rsidRPr="00EA1CA4">
        <w:rPr>
          <w:b/>
        </w:rPr>
        <w:t xml:space="preserve"> </w:t>
      </w:r>
      <w:r w:rsidR="007F202C" w:rsidRPr="00EA1CA4">
        <w:rPr>
          <w:b/>
        </w:rPr>
        <w:t>TB</w:t>
      </w:r>
      <w:r w:rsidR="00911D6F" w:rsidRPr="00EA1CA4">
        <w:rPr>
          <w:b/>
        </w:rPr>
        <w:t>-së</w:t>
      </w:r>
    </w:p>
    <w:p w:rsidR="00DA78D3" w:rsidRPr="00EA1CA4" w:rsidRDefault="00DA78D3" w:rsidP="00624E04">
      <w:pPr>
        <w:spacing w:line="276" w:lineRule="auto"/>
        <w:jc w:val="both"/>
      </w:pPr>
    </w:p>
    <w:p w:rsidR="005240E4" w:rsidRPr="00EA1CA4" w:rsidRDefault="007F202C" w:rsidP="00624E04">
      <w:pPr>
        <w:spacing w:line="276" w:lineRule="auto"/>
        <w:jc w:val="both"/>
      </w:pPr>
      <w:r w:rsidRPr="00EA1CA4">
        <w:t xml:space="preserve">Tuberkulozi (TB) është një sëmundje e </w:t>
      </w:r>
      <w:r w:rsidR="009A6D01" w:rsidRPr="00EA1CA4">
        <w:t xml:space="preserve">cila </w:t>
      </w:r>
      <w:r w:rsidRPr="00EA1CA4">
        <w:t>detyr</w:t>
      </w:r>
      <w:r w:rsidR="009A6D01" w:rsidRPr="00EA1CA4">
        <w:t xml:space="preserve">imisht duhet të </w:t>
      </w:r>
      <w:r w:rsidR="00BC7956" w:rsidRPr="00EA1CA4">
        <w:t xml:space="preserve">raportohet </w:t>
      </w:r>
      <w:r w:rsidRPr="00EA1CA4">
        <w:t>në Kosovë</w:t>
      </w:r>
      <w:r w:rsidR="005240E4" w:rsidRPr="00EA1CA4">
        <w:t>.</w:t>
      </w:r>
      <w:r w:rsidR="009A6D01" w:rsidRPr="00EA1CA4">
        <w:t xml:space="preserve"> </w:t>
      </w:r>
      <w:r w:rsidRPr="00EA1CA4">
        <w:t xml:space="preserve">Të gjitha rastet e dyshuara me TB duhet të </w:t>
      </w:r>
      <w:r w:rsidR="00BC7956" w:rsidRPr="00EA1CA4">
        <w:t xml:space="preserve">raportohen </w:t>
      </w:r>
      <w:r w:rsidRPr="00EA1CA4">
        <w:t>në Departamenti</w:t>
      </w:r>
      <w:r w:rsidR="00BC7956" w:rsidRPr="00EA1CA4">
        <w:t>n e</w:t>
      </w:r>
      <w:r w:rsidRPr="00EA1CA4">
        <w:t xml:space="preserve"> Epidemiologjisë të Institutit </w:t>
      </w:r>
      <w:r w:rsidR="00BC7956" w:rsidRPr="00EA1CA4">
        <w:t>Komb</w:t>
      </w:r>
      <w:r w:rsidR="00D6333D" w:rsidRPr="00EA1CA4">
        <w:t>ë</w:t>
      </w:r>
      <w:r w:rsidR="00BC7956" w:rsidRPr="00EA1CA4">
        <w:t>tar</w:t>
      </w:r>
      <w:r w:rsidR="00D6333D" w:rsidRPr="00EA1CA4">
        <w:t>ë</w:t>
      </w:r>
      <w:r w:rsidR="00BC7956" w:rsidRPr="00EA1CA4">
        <w:t xml:space="preserve"> </w:t>
      </w:r>
      <w:r w:rsidRPr="00EA1CA4">
        <w:t xml:space="preserve">të Shëndetit Publik. Kjo </w:t>
      </w:r>
      <w:r w:rsidR="009A6D01" w:rsidRPr="00EA1CA4">
        <w:t xml:space="preserve">është </w:t>
      </w:r>
      <w:r w:rsidR="00BC7956" w:rsidRPr="00EA1CA4">
        <w:t xml:space="preserve">rregulluar </w:t>
      </w:r>
      <w:r w:rsidRPr="00EA1CA4">
        <w:t xml:space="preserve">sipas Ligjit Nr. 02/L-109 për </w:t>
      </w:r>
      <w:r w:rsidR="009A6D01" w:rsidRPr="00EA1CA4">
        <w:t>P</w:t>
      </w:r>
      <w:r w:rsidRPr="00EA1CA4">
        <w:t xml:space="preserve">arandalimin dhe </w:t>
      </w:r>
      <w:r w:rsidR="009A6D01" w:rsidRPr="00EA1CA4">
        <w:t>Luftimin e S</w:t>
      </w:r>
      <w:r w:rsidRPr="00EA1CA4">
        <w:t xml:space="preserve">ëmundjeve </w:t>
      </w:r>
      <w:r w:rsidR="009A6D01" w:rsidRPr="00EA1CA4">
        <w:t>Ngjitëse</w:t>
      </w:r>
      <w:r w:rsidRPr="00EA1CA4">
        <w:t>. Sistemi i mbikëq</w:t>
      </w:r>
      <w:r w:rsidR="009A6D01" w:rsidRPr="00EA1CA4">
        <w:t>yrjes së TB-së funksionon në tri</w:t>
      </w:r>
      <w:r w:rsidRPr="00EA1CA4">
        <w:t xml:space="preserve"> nivele administrative: kombëtar, rajonal dhe komunal</w:t>
      </w:r>
      <w:r w:rsidR="005240E4" w:rsidRPr="00EA1CA4">
        <w:t>.</w:t>
      </w:r>
      <w:r w:rsidR="005240E4" w:rsidRPr="00EA1CA4">
        <w:rPr>
          <w:rStyle w:val="FootnoteReference"/>
        </w:rPr>
        <w:footnoteReference w:id="22"/>
      </w:r>
    </w:p>
    <w:p w:rsidR="005240E4" w:rsidRPr="00EA1CA4" w:rsidRDefault="007F202C" w:rsidP="00624E04">
      <w:pPr>
        <w:spacing w:line="276" w:lineRule="auto"/>
        <w:jc w:val="both"/>
      </w:pPr>
      <w:r w:rsidRPr="00EA1CA4">
        <w:t>Të gjitha institucionet shëndetësore publike dhe private të të gjitha niveleve, nga qendrat e mjekësisë familjare e deri te</w:t>
      </w:r>
      <w:r w:rsidR="00872694" w:rsidRPr="00EA1CA4">
        <w:t>k</w:t>
      </w:r>
      <w:r w:rsidRPr="00EA1CA4">
        <w:t xml:space="preserve"> </w:t>
      </w:r>
      <w:r w:rsidRPr="00EA1CA4">
        <w:lastRenderedPageBreak/>
        <w:t xml:space="preserve">niveli i klinikave universitare, janë të detyruara ligjërisht të raportojnë dhe të mbikqyrin sëmundjet ngjitëse. Raportet nga niveli </w:t>
      </w:r>
      <w:r w:rsidR="00D43E0E" w:rsidRPr="00EA1CA4">
        <w:t>KPSh</w:t>
      </w:r>
      <w:r w:rsidR="00872694" w:rsidRPr="00EA1CA4">
        <w:t xml:space="preserve"> dhe K</w:t>
      </w:r>
      <w:r w:rsidR="005A2D2E" w:rsidRPr="00EA1CA4">
        <w:t>ShD</w:t>
      </w:r>
      <w:r w:rsidRPr="00EA1CA4">
        <w:t xml:space="preserve"> i dërgohen Institut</w:t>
      </w:r>
      <w:r w:rsidR="00D43E0E" w:rsidRPr="00EA1CA4">
        <w:t xml:space="preserve">eteve </w:t>
      </w:r>
      <w:r w:rsidRPr="00EA1CA4">
        <w:t>Ra</w:t>
      </w:r>
      <w:r w:rsidR="00D43E0E" w:rsidRPr="00EA1CA4">
        <w:t>gjionale</w:t>
      </w:r>
      <w:r w:rsidRPr="00EA1CA4">
        <w:t xml:space="preserve"> të Shëndetësisë Publike të Kosovës, </w:t>
      </w:r>
      <w:r w:rsidR="00D43E0E" w:rsidRPr="00EA1CA4">
        <w:t>t</w:t>
      </w:r>
      <w:r w:rsidR="00D6333D" w:rsidRPr="00EA1CA4">
        <w:t>ë</w:t>
      </w:r>
      <w:r w:rsidR="00D43E0E" w:rsidRPr="00EA1CA4">
        <w:t xml:space="preserve"> cilat </w:t>
      </w:r>
      <w:r w:rsidRPr="00EA1CA4">
        <w:t>brenda një jave i dërgo</w:t>
      </w:r>
      <w:r w:rsidR="00D43E0E" w:rsidRPr="00EA1CA4">
        <w:t>jn</w:t>
      </w:r>
      <w:r w:rsidR="00D6333D" w:rsidRPr="00EA1CA4">
        <w:t>ë</w:t>
      </w:r>
      <w:r w:rsidR="00D43E0E" w:rsidRPr="00EA1CA4">
        <w:t xml:space="preserve"> </w:t>
      </w:r>
      <w:r w:rsidRPr="00EA1CA4">
        <w:t>raportet Institutit Kombëtar të Shëndet</w:t>
      </w:r>
      <w:r w:rsidR="00872694" w:rsidRPr="00EA1CA4">
        <w:t>ësisë</w:t>
      </w:r>
      <w:r w:rsidRPr="00EA1CA4">
        <w:t xml:space="preserve"> Publik</w:t>
      </w:r>
      <w:r w:rsidR="00872694" w:rsidRPr="00EA1CA4">
        <w:t>e. Institucionet e nivelit të K</w:t>
      </w:r>
      <w:r w:rsidRPr="00EA1CA4">
        <w:t xml:space="preserve">ujdesit </w:t>
      </w:r>
      <w:r w:rsidR="00872694" w:rsidRPr="00EA1CA4">
        <w:t>S</w:t>
      </w:r>
      <w:r w:rsidRPr="00EA1CA4">
        <w:t xml:space="preserve">hëndetësor </w:t>
      </w:r>
      <w:r w:rsidR="00872694" w:rsidRPr="00EA1CA4">
        <w:t xml:space="preserve">Terciar </w:t>
      </w:r>
      <w:r w:rsidRPr="00EA1CA4">
        <w:t>raportojnë drejtpërdrejt në I</w:t>
      </w:r>
      <w:r w:rsidR="00872694" w:rsidRPr="00EA1CA4">
        <w:t>K</w:t>
      </w:r>
      <w:r w:rsidR="00D43E0E" w:rsidRPr="00EA1CA4">
        <w:t>SHPK</w:t>
      </w:r>
      <w:r w:rsidRPr="00EA1CA4">
        <w:t xml:space="preserve">, i cili </w:t>
      </w:r>
      <w:r w:rsidR="00D43E0E" w:rsidRPr="00EA1CA4">
        <w:t xml:space="preserve">metutje </w:t>
      </w:r>
      <w:r w:rsidR="00872694" w:rsidRPr="00EA1CA4">
        <w:t xml:space="preserve">i </w:t>
      </w:r>
      <w:r w:rsidRPr="00EA1CA4">
        <w:t xml:space="preserve">raporton </w:t>
      </w:r>
      <w:r w:rsidR="00872694" w:rsidRPr="00EA1CA4">
        <w:t>Ministris</w:t>
      </w:r>
      <w:r w:rsidRPr="00EA1CA4">
        <w:t xml:space="preserve">ë </w:t>
      </w:r>
      <w:r w:rsidR="00872694" w:rsidRPr="00EA1CA4">
        <w:t>së</w:t>
      </w:r>
      <w:r w:rsidRPr="00EA1CA4">
        <w:t xml:space="preserve"> Shëndetësisë</w:t>
      </w:r>
      <w:r w:rsidR="005240E4" w:rsidRPr="00EA1CA4">
        <w:t xml:space="preserve">. </w:t>
      </w:r>
    </w:p>
    <w:p w:rsidR="005240E4" w:rsidRPr="00EA1CA4" w:rsidRDefault="007F202C" w:rsidP="00624E04">
      <w:pPr>
        <w:spacing w:line="276" w:lineRule="auto"/>
        <w:jc w:val="both"/>
      </w:pPr>
      <w:r w:rsidRPr="00EA1CA4">
        <w:t xml:space="preserve">Në nivel komunal, </w:t>
      </w:r>
      <w:r w:rsidR="00D43E0E" w:rsidRPr="00EA1CA4">
        <w:t>mbikqyrja</w:t>
      </w:r>
      <w:r w:rsidRPr="00EA1CA4">
        <w:t xml:space="preserve"> kryhet në të gjitha Njësitë për TB dhe Sëmundjet e Mushkërive (7 në  </w:t>
      </w:r>
      <w:r w:rsidR="00D43E0E" w:rsidRPr="00EA1CA4">
        <w:t>kuad</w:t>
      </w:r>
      <w:r w:rsidR="00D6333D" w:rsidRPr="00EA1CA4">
        <w:t>ë</w:t>
      </w:r>
      <w:r w:rsidR="00D43E0E" w:rsidRPr="00EA1CA4">
        <w:t>r t</w:t>
      </w:r>
      <w:r w:rsidR="00D6333D" w:rsidRPr="00EA1CA4">
        <w:t>ë</w:t>
      </w:r>
      <w:r w:rsidR="00D43E0E" w:rsidRPr="00EA1CA4">
        <w:t xml:space="preserve"> KPSh </w:t>
      </w:r>
      <w:r w:rsidRPr="00EA1CA4">
        <w:t>dhe 5 në KS</w:t>
      </w:r>
      <w:r w:rsidR="005A2D2E" w:rsidRPr="00EA1CA4">
        <w:t>hD</w:t>
      </w:r>
      <w:r w:rsidRPr="00EA1CA4">
        <w:t xml:space="preserve">) të cilat janë të përfshira në </w:t>
      </w:r>
      <w:r w:rsidR="00D43E0E" w:rsidRPr="00EA1CA4">
        <w:t>zbulimin</w:t>
      </w:r>
      <w:r w:rsidRPr="00EA1CA4">
        <w:t xml:space="preserve"> dhe referimin e rasteve të TB të diagnostikuara apo të </w:t>
      </w:r>
      <w:r w:rsidR="00D43E0E" w:rsidRPr="00EA1CA4">
        <w:t xml:space="preserve">dyshimta </w:t>
      </w:r>
      <w:r w:rsidRPr="00EA1CA4">
        <w:t>në Departamente</w:t>
      </w:r>
      <w:r w:rsidR="00D43E0E" w:rsidRPr="00EA1CA4">
        <w:t xml:space="preserve">t e </w:t>
      </w:r>
      <w:r w:rsidRPr="00EA1CA4">
        <w:t>TB</w:t>
      </w:r>
      <w:r w:rsidR="00872694" w:rsidRPr="00EA1CA4">
        <w:t>-së</w:t>
      </w:r>
      <w:r w:rsidRPr="00EA1CA4">
        <w:t xml:space="preserve"> dhe Sëmundje</w:t>
      </w:r>
      <w:r w:rsidR="00D43E0E" w:rsidRPr="00EA1CA4">
        <w:t xml:space="preserve"> t</w:t>
      </w:r>
      <w:r w:rsidR="00872694" w:rsidRPr="00EA1CA4">
        <w:t>ë</w:t>
      </w:r>
      <w:r w:rsidRPr="00EA1CA4">
        <w:t xml:space="preserve"> Mushkërive që janë përgjegjëse për trajtimin dhe kujdesin </w:t>
      </w:r>
      <w:r w:rsidR="00D43E0E" w:rsidRPr="00EA1CA4">
        <w:t>e</w:t>
      </w:r>
      <w:r w:rsidR="00872694" w:rsidRPr="00EA1CA4">
        <w:t xml:space="preserve"> TB-së</w:t>
      </w:r>
      <w:r w:rsidRPr="00EA1CA4">
        <w:t xml:space="preserve">. Shërbimet diagnostike për TB-në, mikroskopia direkte dhe ekzaminimet me rreze X ofrohen në shumicën e </w:t>
      </w:r>
      <w:r w:rsidR="00872694" w:rsidRPr="00EA1CA4">
        <w:t>NJSM</w:t>
      </w:r>
      <w:r w:rsidRPr="00EA1CA4">
        <w:t xml:space="preserve">TB-ve të vendosura në </w:t>
      </w:r>
      <w:r w:rsidR="00872694" w:rsidRPr="00EA1CA4">
        <w:t>Q</w:t>
      </w:r>
      <w:r w:rsidRPr="00EA1CA4">
        <w:t xml:space="preserve">endrat </w:t>
      </w:r>
      <w:r w:rsidR="00872694" w:rsidRPr="00EA1CA4">
        <w:t>K</w:t>
      </w:r>
      <w:r w:rsidRPr="00EA1CA4">
        <w:t xml:space="preserve">ryesore të </w:t>
      </w:r>
      <w:r w:rsidR="00872694" w:rsidRPr="00EA1CA4">
        <w:t>M</w:t>
      </w:r>
      <w:r w:rsidRPr="00EA1CA4">
        <w:t xml:space="preserve">jekësisë </w:t>
      </w:r>
      <w:r w:rsidR="00872694" w:rsidRPr="00EA1CA4">
        <w:t>F</w:t>
      </w:r>
      <w:r w:rsidRPr="00EA1CA4">
        <w:t>amiljare</w:t>
      </w:r>
      <w:r w:rsidR="005240E4" w:rsidRPr="00EA1CA4">
        <w:t xml:space="preserve">. </w:t>
      </w:r>
    </w:p>
    <w:p w:rsidR="005240E4" w:rsidRPr="00EA1CA4" w:rsidRDefault="007F202C" w:rsidP="00624E04">
      <w:pPr>
        <w:spacing w:line="276" w:lineRule="auto"/>
        <w:jc w:val="both"/>
      </w:pPr>
      <w:r w:rsidRPr="00EA1CA4">
        <w:t>Qendrat rajonale të TB</w:t>
      </w:r>
      <w:r w:rsidR="00872694" w:rsidRPr="00EA1CA4">
        <w:t>-së</w:t>
      </w:r>
      <w:r w:rsidRPr="00EA1CA4">
        <w:rPr>
          <w:b/>
        </w:rPr>
        <w:t xml:space="preserve"> </w:t>
      </w:r>
      <w:r w:rsidRPr="00EA1CA4">
        <w:t xml:space="preserve">janë përgjegjëse për diagnostikimin dhe menaxhimin e mëtejshëm të pacientëve me </w:t>
      </w:r>
      <w:r w:rsidR="000B0F5F" w:rsidRPr="00EA1CA4">
        <w:t>TB</w:t>
      </w:r>
      <w:r w:rsidRPr="00EA1CA4">
        <w:t xml:space="preserve">, </w:t>
      </w:r>
      <w:r w:rsidR="000B0F5F" w:rsidRPr="00EA1CA4">
        <w:t xml:space="preserve">për </w:t>
      </w:r>
      <w:r w:rsidRPr="00EA1CA4">
        <w:t xml:space="preserve">rishikimin dhe monitorimin e cilësisë së të dhënave dhe </w:t>
      </w:r>
      <w:r w:rsidR="000B0F5F" w:rsidRPr="00EA1CA4">
        <w:t xml:space="preserve">për </w:t>
      </w:r>
      <w:r w:rsidRPr="00EA1CA4">
        <w:t xml:space="preserve">përgatitjen dhe dorëzimin e njoftimeve </w:t>
      </w:r>
      <w:r w:rsidR="000B0F5F" w:rsidRPr="00EA1CA4">
        <w:t>t</w:t>
      </w:r>
      <w:r w:rsidRPr="00EA1CA4">
        <w:t>ë TB</w:t>
      </w:r>
      <w:r w:rsidR="000B0F5F" w:rsidRPr="00EA1CA4">
        <w:t>-së,</w:t>
      </w:r>
      <w:r w:rsidRPr="00EA1CA4">
        <w:t xml:space="preserve"> </w:t>
      </w:r>
      <w:r w:rsidR="000B0F5F" w:rsidRPr="00EA1CA4">
        <w:t xml:space="preserve">si </w:t>
      </w:r>
      <w:r w:rsidRPr="00EA1CA4">
        <w:t>dhe të dhëna</w:t>
      </w:r>
      <w:r w:rsidR="000B0F5F" w:rsidRPr="00EA1CA4">
        <w:t>t</w:t>
      </w:r>
      <w:r w:rsidRPr="00EA1CA4">
        <w:t xml:space="preserve"> tjera të lidhura me mbikëqyrjen në nivel kombëtar. Ekipi rajonal i </w:t>
      </w:r>
      <w:r w:rsidR="000B0F5F" w:rsidRPr="00EA1CA4">
        <w:t xml:space="preserve">vëzhgimit </w:t>
      </w:r>
      <w:r w:rsidRPr="00EA1CA4">
        <w:t>përfaqësohet nga koordinatorët rajonalë të TB</w:t>
      </w:r>
      <w:r w:rsidR="000B0F5F" w:rsidRPr="00EA1CA4">
        <w:t>-së</w:t>
      </w:r>
      <w:r w:rsidRPr="00EA1CA4">
        <w:t>. Regjistrat e njësive mjekësore bazë të TB plotësohen në nivel rajonal</w:t>
      </w:r>
      <w:r w:rsidR="000B0F5F" w:rsidRPr="00EA1CA4">
        <w:t>,</w:t>
      </w:r>
      <w:r w:rsidRPr="00EA1CA4">
        <w:t xml:space="preserve"> dhe të dhënat ngarkohen në sistemin e integruar të informacionit elekt</w:t>
      </w:r>
      <w:r w:rsidR="000B0F5F" w:rsidRPr="00EA1CA4">
        <w:t>r</w:t>
      </w:r>
      <w:r w:rsidRPr="00EA1CA4">
        <w:t>onik të TB</w:t>
      </w:r>
      <w:r w:rsidR="000B0F5F" w:rsidRPr="00EA1CA4">
        <w:t>,</w:t>
      </w:r>
      <w:r w:rsidRPr="00EA1CA4">
        <w:t xml:space="preserve"> të quajtur SI</w:t>
      </w:r>
      <w:r w:rsidR="002F6364" w:rsidRPr="00EA1CA4">
        <w:t>M</w:t>
      </w:r>
      <w:r w:rsidRPr="00EA1CA4">
        <w:t>TB. Shërbimi Shëndetësor i Burg</w:t>
      </w:r>
      <w:r w:rsidR="000B0F5F" w:rsidRPr="00EA1CA4">
        <w:t xml:space="preserve">jeve ka </w:t>
      </w:r>
      <w:r w:rsidRPr="00EA1CA4">
        <w:t>edhe dhoma speciale për trajtimin dhe përcjelljen e pacientëve me TB, të vendosura në Burgun e Dubravës (Regjioni i Pejës). Rastet e TB-së nga sistemi penitenciar raportohen përmes Sistemit Shëndetësor të Burgjeve në IK</w:t>
      </w:r>
      <w:r w:rsidR="000B0F5F" w:rsidRPr="00EA1CA4">
        <w:t>,</w:t>
      </w:r>
      <w:r w:rsidRPr="00EA1CA4">
        <w:t xml:space="preserve"> dhe përfshihen në të dhënat kombëtare të </w:t>
      </w:r>
      <w:r w:rsidR="000B0F5F" w:rsidRPr="00EA1CA4">
        <w:t>vëzhgimit</w:t>
      </w:r>
      <w:r w:rsidR="005240E4" w:rsidRPr="00EA1CA4">
        <w:t xml:space="preserve">. </w:t>
      </w:r>
    </w:p>
    <w:p w:rsidR="005240E4" w:rsidRPr="00EA1CA4" w:rsidRDefault="007F202C" w:rsidP="00624E04">
      <w:pPr>
        <w:spacing w:line="276" w:lineRule="auto"/>
        <w:jc w:val="both"/>
      </w:pPr>
      <w:r w:rsidRPr="00EA1CA4">
        <w:t xml:space="preserve">Niveli i tretë i sistemit të </w:t>
      </w:r>
      <w:r w:rsidR="000B0F5F" w:rsidRPr="00EA1CA4">
        <w:t>vëzhgimit</w:t>
      </w:r>
      <w:r w:rsidR="000B0F5F" w:rsidRPr="00EA1CA4">
        <w:rPr>
          <w:b/>
        </w:rPr>
        <w:t xml:space="preserve"> </w:t>
      </w:r>
      <w:r w:rsidRPr="00EA1CA4">
        <w:t>është niveli kombëtar, ku grumbullohen të dhënat nga niveli rajonal. Raportimi dhe grumbullimi i të dhënave kombëtare bëhet nëpërmjet sistemit SI</w:t>
      </w:r>
      <w:r w:rsidR="002F6364" w:rsidRPr="00EA1CA4">
        <w:t>M</w:t>
      </w:r>
      <w:r w:rsidRPr="00EA1CA4">
        <w:t>TB. Nga viti 2012 deri në fund të vitit 2015 kjo është bërë nga Fondi për Zhvillimin e Komunitetit, një organizatë joqeveritare</w:t>
      </w:r>
      <w:r w:rsidR="000B0F5F" w:rsidRPr="00EA1CA4">
        <w:t>,</w:t>
      </w:r>
      <w:r w:rsidRPr="00EA1CA4">
        <w:t xml:space="preserve"> dhe përfitues kryesor i grantit nga Fondi Global. Në vitet e mëparshme, PR/SR ka kryer </w:t>
      </w:r>
      <w:r w:rsidR="00BE6E3D" w:rsidRPr="00EA1CA4">
        <w:t>mbikëqyrje</w:t>
      </w:r>
      <w:r w:rsidRPr="00EA1CA4">
        <w:t xml:space="preserve"> </w:t>
      </w:r>
      <w:r w:rsidR="00BE6E3D" w:rsidRPr="00EA1CA4">
        <w:t>dhe gjenerimin e të dhënave t</w:t>
      </w:r>
      <w:r w:rsidRPr="00EA1CA4">
        <w:t>ë TB-së</w:t>
      </w:r>
      <w:r w:rsidR="00BE6E3D" w:rsidRPr="00EA1CA4">
        <w:t>. Marwsi Kryesor</w:t>
      </w:r>
      <w:r w:rsidRPr="00EA1CA4">
        <w:t xml:space="preserve">/SR </w:t>
      </w:r>
      <w:r w:rsidR="00BE6E3D" w:rsidRPr="00EA1CA4">
        <w:t xml:space="preserve">janë </w:t>
      </w:r>
      <w:r w:rsidRPr="00EA1CA4">
        <w:t xml:space="preserve">gjithashtu përgjegjëse për sigurimin e cilësisë së të dhënave, zhvillimin e burimeve njerëzore për mbikëqyrjen e TB-së, </w:t>
      </w:r>
      <w:r w:rsidRPr="00EA1CA4">
        <w:lastRenderedPageBreak/>
        <w:t xml:space="preserve">monitorimin dhe trajnimin në punë të koordinatorëve të TB-së, dhe rishikimin, printimin dhe shpërndarjen e formularëve standard të rishikuar të OBSH-së. </w:t>
      </w:r>
      <w:r w:rsidR="000B0F5F" w:rsidRPr="00EA1CA4">
        <w:t>N</w:t>
      </w:r>
      <w:r w:rsidRPr="00EA1CA4">
        <w:t xml:space="preserve">ë janar 2016, mbikëqyrja e përgjithshme e sistemit të </w:t>
      </w:r>
      <w:r w:rsidR="000B0F5F" w:rsidRPr="00EA1CA4">
        <w:t xml:space="preserve">vëzhgimit </w:t>
      </w:r>
      <w:r w:rsidRPr="00EA1CA4">
        <w:t>i është dorëzuar IK-së</w:t>
      </w:r>
      <w:r w:rsidR="005240E4" w:rsidRPr="00EA1CA4">
        <w:t>.</w:t>
      </w:r>
      <w:r w:rsidR="005240E4" w:rsidRPr="00EA1CA4">
        <w:rPr>
          <w:rStyle w:val="FootnoteReference"/>
        </w:rPr>
        <w:footnoteReference w:id="23"/>
      </w:r>
    </w:p>
    <w:p w:rsidR="00BE71AB" w:rsidRPr="00EA1CA4" w:rsidRDefault="00BE71AB" w:rsidP="00BE6E3D">
      <w:pPr>
        <w:spacing w:line="276" w:lineRule="auto"/>
        <w:jc w:val="both"/>
        <w:rPr>
          <w:b/>
        </w:rPr>
      </w:pPr>
      <w:bookmarkStart w:id="42" w:name="_Toc93005237"/>
      <w:bookmarkStart w:id="43" w:name="_Toc93072910"/>
    </w:p>
    <w:p w:rsidR="005240E4" w:rsidRPr="00EA1CA4" w:rsidRDefault="00FB5CF3" w:rsidP="00BE6E3D">
      <w:pPr>
        <w:spacing w:line="276" w:lineRule="auto"/>
        <w:jc w:val="both"/>
        <w:rPr>
          <w:b/>
        </w:rPr>
      </w:pPr>
      <w:r w:rsidRPr="00EA1CA4">
        <w:rPr>
          <w:b/>
        </w:rPr>
        <w:t xml:space="preserve">6.3 </w:t>
      </w:r>
      <w:bookmarkEnd w:id="42"/>
      <w:bookmarkEnd w:id="43"/>
      <w:r w:rsidR="007D18C6" w:rsidRPr="00EA1CA4">
        <w:rPr>
          <w:b/>
        </w:rPr>
        <w:t xml:space="preserve">Sektori privat në </w:t>
      </w:r>
      <w:r w:rsidR="000B0F5F" w:rsidRPr="00EA1CA4">
        <w:rPr>
          <w:b/>
        </w:rPr>
        <w:t xml:space="preserve">reagimin </w:t>
      </w:r>
      <w:r w:rsidR="007D18C6" w:rsidRPr="00EA1CA4">
        <w:rPr>
          <w:b/>
        </w:rPr>
        <w:t>ndaj TB</w:t>
      </w:r>
      <w:r w:rsidR="000B0F5F" w:rsidRPr="00EA1CA4">
        <w:rPr>
          <w:b/>
        </w:rPr>
        <w:t>-së</w:t>
      </w:r>
    </w:p>
    <w:p w:rsidR="005240E4" w:rsidRPr="00EA1CA4" w:rsidRDefault="007D18C6" w:rsidP="00624E04">
      <w:pPr>
        <w:spacing w:line="276" w:lineRule="auto"/>
        <w:jc w:val="both"/>
      </w:pPr>
      <w:r w:rsidRPr="00EA1CA4">
        <w:t xml:space="preserve">Angazhimi i klinikave private në ofrimin e shërbimeve të TB-së nuk është studiuar mirë. Ekziston </w:t>
      </w:r>
      <w:r w:rsidR="002842BB" w:rsidRPr="00EA1CA4">
        <w:t xml:space="preserve">brenga </w:t>
      </w:r>
      <w:r w:rsidRPr="00EA1CA4">
        <w:t xml:space="preserve">se klinikat private </w:t>
      </w:r>
      <w:r w:rsidR="002842BB" w:rsidRPr="00EA1CA4">
        <w:t>nuk janë të integruara mirë me P</w:t>
      </w:r>
      <w:r w:rsidRPr="00EA1CA4">
        <w:t xml:space="preserve">rogramin </w:t>
      </w:r>
      <w:r w:rsidR="002842BB" w:rsidRPr="00EA1CA4">
        <w:t>K</w:t>
      </w:r>
      <w:r w:rsidRPr="00EA1CA4">
        <w:t xml:space="preserve">ombëtar </w:t>
      </w:r>
      <w:r w:rsidR="002842BB" w:rsidRPr="00EA1CA4">
        <w:t>kundër</w:t>
      </w:r>
      <w:r w:rsidRPr="00EA1CA4">
        <w:t xml:space="preserve"> TB-së dhe të dhënat për rastet dhe referimet me TB nuk raportohen. Prandaj, supozohet se disa pacientë me TB</w:t>
      </w:r>
      <w:r w:rsidR="002842BB" w:rsidRPr="00EA1CA4">
        <w:t>,</w:t>
      </w:r>
      <w:r w:rsidRPr="00EA1CA4">
        <w:t xml:space="preserve"> që marrin shërbime në sektorin privat</w:t>
      </w:r>
      <w:r w:rsidR="002842BB" w:rsidRPr="00EA1CA4">
        <w:t>,</w:t>
      </w:r>
      <w:r w:rsidRPr="00EA1CA4">
        <w:t xml:space="preserve"> mund të mungojnë nga PK</w:t>
      </w:r>
      <w:r w:rsidR="002842BB" w:rsidRPr="00EA1CA4">
        <w:t>K</w:t>
      </w:r>
      <w:r w:rsidRPr="00EA1CA4">
        <w:t>TB. Përfshirja e ofruesve të shërbimeve private nën ombrellën e PK</w:t>
      </w:r>
      <w:r w:rsidR="002842BB" w:rsidRPr="00EA1CA4">
        <w:t>K</w:t>
      </w:r>
      <w:r w:rsidRPr="00EA1CA4">
        <w:t>TB do të jetë një nga objektivat e PKV-së aktuale. Sipas grantit të FG, do të bëhet një vlerësim për të hartuar ofruesit privatë të shërbimeve të TB-së, i cili do të pasohet nga trajnimi i mjekëve privatë mbi udhëz</w:t>
      </w:r>
      <w:r w:rsidR="002842BB" w:rsidRPr="00EA1CA4">
        <w:t xml:space="preserve">uesit </w:t>
      </w:r>
      <w:r w:rsidRPr="00EA1CA4">
        <w:t xml:space="preserve">dhe politikat kombëtare </w:t>
      </w:r>
      <w:r w:rsidR="002842BB" w:rsidRPr="00EA1CA4">
        <w:t>kundër</w:t>
      </w:r>
      <w:r w:rsidRPr="00EA1CA4">
        <w:t xml:space="preserve"> TB</w:t>
      </w:r>
      <w:r w:rsidR="002842BB" w:rsidRPr="00EA1CA4">
        <w:t>-së,</w:t>
      </w:r>
      <w:r w:rsidRPr="00EA1CA4">
        <w:t xml:space="preserve"> që rregullojnë </w:t>
      </w:r>
      <w:r w:rsidR="002842BB" w:rsidRPr="00EA1CA4">
        <w:t xml:space="preserve">vëzhgimin </w:t>
      </w:r>
      <w:r w:rsidRPr="00EA1CA4">
        <w:t>e TB-së, si dhe stimulimin e klinikave private me PK</w:t>
      </w:r>
      <w:r w:rsidR="002842BB" w:rsidRPr="00EA1CA4">
        <w:t>K</w:t>
      </w:r>
      <w:r w:rsidRPr="00EA1CA4">
        <w:t>TB sipas Pilotëve të Miksit Publik-Privat (PPM)</w:t>
      </w:r>
      <w:r w:rsidR="005240E4" w:rsidRPr="00EA1CA4">
        <w:rPr>
          <w:rStyle w:val="FootnoteReference"/>
        </w:rPr>
        <w:footnoteReference w:id="24"/>
      </w:r>
      <w:r w:rsidR="005240E4" w:rsidRPr="00EA1CA4">
        <w:t>.</w:t>
      </w:r>
    </w:p>
    <w:p w:rsidR="00DA78D3" w:rsidRPr="00EA1CA4" w:rsidRDefault="00DA78D3" w:rsidP="00624E04">
      <w:pPr>
        <w:spacing w:line="276" w:lineRule="auto"/>
        <w:jc w:val="both"/>
      </w:pPr>
    </w:p>
    <w:p w:rsidR="005240E4" w:rsidRPr="00EA1CA4" w:rsidRDefault="00FB5CF3" w:rsidP="00DA78D3">
      <w:pPr>
        <w:rPr>
          <w:b/>
        </w:rPr>
      </w:pPr>
      <w:bookmarkStart w:id="44" w:name="_Toc93005238"/>
      <w:bookmarkStart w:id="45" w:name="_Toc93072911"/>
      <w:r w:rsidRPr="00EA1CA4">
        <w:rPr>
          <w:b/>
        </w:rPr>
        <w:t xml:space="preserve">6.4 </w:t>
      </w:r>
      <w:bookmarkEnd w:id="41"/>
      <w:bookmarkEnd w:id="44"/>
      <w:bookmarkEnd w:id="45"/>
      <w:r w:rsidR="00212EBC" w:rsidRPr="00EA1CA4">
        <w:rPr>
          <w:b/>
        </w:rPr>
        <w:t>A</w:t>
      </w:r>
      <w:r w:rsidR="007D18C6" w:rsidRPr="00EA1CA4">
        <w:rPr>
          <w:b/>
        </w:rPr>
        <w:t>ngazhimi i O</w:t>
      </w:r>
      <w:r w:rsidR="002842BB" w:rsidRPr="00EA1CA4">
        <w:rPr>
          <w:b/>
        </w:rPr>
        <w:t xml:space="preserve">SHC-ve </w:t>
      </w:r>
      <w:r w:rsidR="007D18C6" w:rsidRPr="00EA1CA4">
        <w:rPr>
          <w:b/>
        </w:rPr>
        <w:t xml:space="preserve">në </w:t>
      </w:r>
      <w:r w:rsidR="002842BB" w:rsidRPr="00EA1CA4">
        <w:rPr>
          <w:b/>
        </w:rPr>
        <w:t>reagimin k</w:t>
      </w:r>
      <w:r w:rsidR="007D18C6" w:rsidRPr="00EA1CA4">
        <w:rPr>
          <w:b/>
        </w:rPr>
        <w:t>ombëtar ndaj TB</w:t>
      </w:r>
      <w:r w:rsidR="002842BB" w:rsidRPr="00EA1CA4">
        <w:rPr>
          <w:b/>
        </w:rPr>
        <w:t>-së</w:t>
      </w:r>
    </w:p>
    <w:p w:rsidR="00D43E0E" w:rsidRPr="00EA1CA4" w:rsidRDefault="00D43E0E" w:rsidP="00624E04">
      <w:pPr>
        <w:spacing w:line="276" w:lineRule="auto"/>
        <w:jc w:val="both"/>
        <w:rPr>
          <w:b/>
        </w:rPr>
      </w:pPr>
    </w:p>
    <w:p w:rsidR="005240E4" w:rsidRPr="00EA1CA4" w:rsidRDefault="00212EBC" w:rsidP="00624E04">
      <w:pPr>
        <w:spacing w:line="276" w:lineRule="auto"/>
        <w:jc w:val="both"/>
      </w:pPr>
      <w:r w:rsidRPr="00EA1CA4">
        <w:rPr>
          <w:b/>
        </w:rPr>
        <w:t>Fondi për Zhvillim</w:t>
      </w:r>
      <w:r w:rsidR="007D18C6" w:rsidRPr="00EA1CA4">
        <w:rPr>
          <w:b/>
        </w:rPr>
        <w:t xml:space="preserve"> Komunit</w:t>
      </w:r>
      <w:r w:rsidRPr="00EA1CA4">
        <w:rPr>
          <w:b/>
        </w:rPr>
        <w:t>ar</w:t>
      </w:r>
      <w:r w:rsidR="007D18C6" w:rsidRPr="00EA1CA4">
        <w:rPr>
          <w:b/>
        </w:rPr>
        <w:t xml:space="preserve"> (</w:t>
      </w:r>
      <w:r w:rsidRPr="00EA1CA4">
        <w:rPr>
          <w:b/>
        </w:rPr>
        <w:t>CDF</w:t>
      </w:r>
      <w:r w:rsidR="007D18C6" w:rsidRPr="00EA1CA4">
        <w:rPr>
          <w:b/>
        </w:rPr>
        <w:t xml:space="preserve">) </w:t>
      </w:r>
      <w:r w:rsidR="007D18C6" w:rsidRPr="00EA1CA4">
        <w:t xml:space="preserve">është një organizatë joqeveritare në Kosovë </w:t>
      </w:r>
      <w:r w:rsidR="002842BB" w:rsidRPr="00EA1CA4">
        <w:t xml:space="preserve">e cila ka </w:t>
      </w:r>
      <w:r w:rsidR="007D18C6" w:rsidRPr="00EA1CA4">
        <w:t>fill</w:t>
      </w:r>
      <w:r w:rsidR="002842BB" w:rsidRPr="00EA1CA4">
        <w:t xml:space="preserve">uar </w:t>
      </w:r>
      <w:r w:rsidR="007D18C6" w:rsidRPr="00EA1CA4">
        <w:t>aktivitetet e saj</w:t>
      </w:r>
      <w:r w:rsidR="002842BB" w:rsidRPr="00EA1CA4">
        <w:t>a</w:t>
      </w:r>
      <w:r w:rsidR="007D18C6" w:rsidRPr="00EA1CA4">
        <w:t xml:space="preserve"> në nëntor 1999, kur </w:t>
      </w:r>
      <w:r w:rsidR="002842BB" w:rsidRPr="00EA1CA4">
        <w:t xml:space="preserve">edhe </w:t>
      </w:r>
      <w:r w:rsidR="007D18C6" w:rsidRPr="00EA1CA4">
        <w:t xml:space="preserve">u themelua në partneritet me Fondacionin Soros/Institutin e Shoqërisë së Hapur. Që nga tetori i vitit 2011, </w:t>
      </w:r>
      <w:r w:rsidRPr="00EA1CA4">
        <w:t>CDF</w:t>
      </w:r>
      <w:r w:rsidR="007D18C6" w:rsidRPr="00EA1CA4">
        <w:t xml:space="preserve"> është zgjedhur si përfituesi </w:t>
      </w:r>
      <w:r w:rsidR="002842BB" w:rsidRPr="00EA1CA4">
        <w:t>k</w:t>
      </w:r>
      <w:r w:rsidR="007D18C6" w:rsidRPr="00EA1CA4">
        <w:t xml:space="preserve">ryesor i </w:t>
      </w:r>
      <w:r w:rsidR="002842BB" w:rsidRPr="00EA1CA4">
        <w:t>g</w:t>
      </w:r>
      <w:r w:rsidR="007D18C6" w:rsidRPr="00EA1CA4">
        <w:t xml:space="preserve">ranteve të Fondit Global për Programet për HIV dhe TB në Kosovë. Fondi i Zhvillimit të Komunitetit do të vazhdojë të shërbejë si një </w:t>
      </w:r>
      <w:r w:rsidRPr="00EA1CA4">
        <w:t>Marrws Kryesor</w:t>
      </w:r>
      <w:r w:rsidR="007D18C6" w:rsidRPr="00EA1CA4">
        <w:t xml:space="preserve"> i</w:t>
      </w:r>
      <w:r w:rsidRPr="00EA1CA4">
        <w:t xml:space="preserve"> grantit tw</w:t>
      </w:r>
      <w:r w:rsidR="007D18C6" w:rsidRPr="00EA1CA4">
        <w:t xml:space="preserve"> FG-së deri në vitin 2024</w:t>
      </w:r>
      <w:r w:rsidR="005240E4" w:rsidRPr="00EA1CA4">
        <w:t>.</w:t>
      </w:r>
    </w:p>
    <w:p w:rsidR="005240E4" w:rsidRPr="00EA1CA4" w:rsidRDefault="005240E4" w:rsidP="00624E04">
      <w:pPr>
        <w:spacing w:line="276" w:lineRule="auto"/>
        <w:jc w:val="both"/>
      </w:pPr>
      <w:r w:rsidRPr="00EA1CA4">
        <w:rPr>
          <w:b/>
        </w:rPr>
        <w:t>KeA</w:t>
      </w:r>
      <w:bookmarkStart w:id="46" w:name="_Ref82605214"/>
      <w:r w:rsidRPr="00EA1CA4">
        <w:rPr>
          <w:rStyle w:val="FootnoteReference"/>
        </w:rPr>
        <w:footnoteReference w:id="25"/>
      </w:r>
      <w:bookmarkEnd w:id="46"/>
      <w:r w:rsidR="002842BB" w:rsidRPr="00EA1CA4">
        <w:rPr>
          <w:b/>
        </w:rPr>
        <w:t xml:space="preserve"> </w:t>
      </w:r>
      <w:r w:rsidR="007D18C6" w:rsidRPr="00EA1CA4">
        <w:t xml:space="preserve">OJQ lokale KeA ka qenë nën-përfituese e grantit të FG </w:t>
      </w:r>
      <w:r w:rsidR="002842BB" w:rsidRPr="00EA1CA4">
        <w:t xml:space="preserve">për </w:t>
      </w:r>
      <w:r w:rsidR="007D18C6" w:rsidRPr="00EA1CA4">
        <w:t xml:space="preserve">TB në Kosovë. Ajo zbaton një sërë aktivitetesh të ndryshme në mbështetje të programit </w:t>
      </w:r>
      <w:r w:rsidR="002842BB" w:rsidRPr="00EA1CA4">
        <w:t>kundër</w:t>
      </w:r>
      <w:r w:rsidR="007D18C6" w:rsidRPr="00EA1CA4">
        <w:t xml:space="preserve"> TB</w:t>
      </w:r>
      <w:r w:rsidR="002842BB" w:rsidRPr="00EA1CA4">
        <w:t>-së</w:t>
      </w:r>
      <w:r w:rsidR="007D18C6" w:rsidRPr="00EA1CA4">
        <w:t xml:space="preserve">, duke përfshirë aktivitete për të mbështetur laboratorët, </w:t>
      </w:r>
      <w:r w:rsidR="00253DBE" w:rsidRPr="00EA1CA4">
        <w:t xml:space="preserve">sistemine regjistrimit </w:t>
      </w:r>
      <w:r w:rsidR="002842BB" w:rsidRPr="00EA1CA4">
        <w:t>dhe</w:t>
      </w:r>
      <w:r w:rsidR="00253DBE" w:rsidRPr="00EA1CA4">
        <w:t xml:space="preserve"> raportimit të TB</w:t>
      </w:r>
      <w:r w:rsidR="007D18C6" w:rsidRPr="00EA1CA4">
        <w:t xml:space="preserve">, </w:t>
      </w:r>
      <w:r w:rsidR="00253DBE" w:rsidRPr="00EA1CA4">
        <w:t xml:space="preserve">menaxhimin e rasteve </w:t>
      </w:r>
      <w:r w:rsidR="00253DBE" w:rsidRPr="00EA1CA4">
        <w:lastRenderedPageBreak/>
        <w:t>multirezistente në barna të TB</w:t>
      </w:r>
      <w:r w:rsidR="007D18C6" w:rsidRPr="00EA1CA4">
        <w:t xml:space="preserve">, kontrollin e </w:t>
      </w:r>
      <w:r w:rsidR="002842BB" w:rsidRPr="00EA1CA4">
        <w:t>infeksionit</w:t>
      </w:r>
      <w:r w:rsidR="007D18C6" w:rsidRPr="00EA1CA4">
        <w:t xml:space="preserve">, </w:t>
      </w:r>
      <w:r w:rsidR="00733343" w:rsidRPr="00EA1CA4">
        <w:t>menaxhimine TB në</w:t>
      </w:r>
      <w:r w:rsidR="007D18C6" w:rsidRPr="00EA1CA4">
        <w:t xml:space="preserve"> sistemin e burgjeve, gjurmimin e kontakteve dhe gjetjen aktive të rasteve</w:t>
      </w:r>
      <w:r w:rsidR="00733343" w:rsidRPr="00EA1CA4">
        <w:t xml:space="preserve"> të TB</w:t>
      </w:r>
      <w:r w:rsidR="007D18C6" w:rsidRPr="00EA1CA4">
        <w:t xml:space="preserve">, punën me popullatat </w:t>
      </w:r>
      <w:r w:rsidR="00733343" w:rsidRPr="00EA1CA4">
        <w:t>vulnerabile</w:t>
      </w:r>
      <w:r w:rsidR="007D18C6" w:rsidRPr="00EA1CA4">
        <w:t xml:space="preserve">, TB-në tek fëmijët, PPMix dhe kujdesin për TB të bazuar në komunitet. Në </w:t>
      </w:r>
      <w:r w:rsidR="002842BB" w:rsidRPr="00EA1CA4">
        <w:t xml:space="preserve">periudhën </w:t>
      </w:r>
      <w:r w:rsidR="007D18C6" w:rsidRPr="00EA1CA4">
        <w:t>2022-2024</w:t>
      </w:r>
      <w:r w:rsidR="002842BB" w:rsidRPr="00EA1CA4">
        <w:t>,</w:t>
      </w:r>
      <w:r w:rsidR="007D18C6" w:rsidRPr="00EA1CA4">
        <w:t xml:space="preserve"> ajo duhet të luajë një rol k</w:t>
      </w:r>
      <w:r w:rsidR="00DF7A2E" w:rsidRPr="00EA1CA4">
        <w:t>yç</w:t>
      </w:r>
      <w:r w:rsidR="007D18C6" w:rsidRPr="00EA1CA4">
        <w:t xml:space="preserve"> në </w:t>
      </w:r>
      <w:r w:rsidR="00DF7A2E" w:rsidRPr="00EA1CA4">
        <w:t xml:space="preserve">ndërtimin e kapaciteteve dhe </w:t>
      </w:r>
      <w:r w:rsidR="007D18C6" w:rsidRPr="00EA1CA4">
        <w:t>transferimin e sistemit SI</w:t>
      </w:r>
      <w:r w:rsidR="002F6364" w:rsidRPr="00EA1CA4">
        <w:t>M</w:t>
      </w:r>
      <w:r w:rsidR="007D18C6" w:rsidRPr="00EA1CA4">
        <w:t>TB në sektorin publik</w:t>
      </w:r>
      <w:r w:rsidRPr="00EA1CA4">
        <w:t>.</w:t>
      </w:r>
    </w:p>
    <w:p w:rsidR="005240E4" w:rsidRPr="00EA1CA4" w:rsidRDefault="005240E4" w:rsidP="00624E04">
      <w:pPr>
        <w:spacing w:line="276" w:lineRule="auto"/>
        <w:jc w:val="both"/>
      </w:pPr>
      <w:r w:rsidRPr="00EA1CA4">
        <w:rPr>
          <w:b/>
        </w:rPr>
        <w:t>Integra</w:t>
      </w:r>
      <w:r w:rsidR="00D75ED6">
        <w:fldChar w:fldCharType="begin"/>
      </w:r>
      <w:r w:rsidR="00D75ED6">
        <w:instrText xml:space="preserve"> NOTEREF _Ref82605214 \f \h  \* MERGEFORMAT </w:instrText>
      </w:r>
      <w:r w:rsidR="00D75ED6">
        <w:fldChar w:fldCharType="separate"/>
      </w:r>
      <w:r w:rsidR="00DD5916" w:rsidRPr="00EA1CA4">
        <w:rPr>
          <w:rStyle w:val="FootnoteReference"/>
        </w:rPr>
        <w:t>27</w:t>
      </w:r>
      <w:r w:rsidR="00D75ED6">
        <w:fldChar w:fldCharType="end"/>
      </w:r>
      <w:r w:rsidR="002842BB" w:rsidRPr="00EA1CA4">
        <w:t xml:space="preserve"> </w:t>
      </w:r>
      <w:r w:rsidR="007D18C6" w:rsidRPr="00EA1CA4">
        <w:t>OJQ lokale Integra ka qenë një SR e grantit të FG në Kosovë dhe ka qenë një lojtar k</w:t>
      </w:r>
      <w:r w:rsidR="002842BB" w:rsidRPr="00EA1CA4">
        <w:t>yç</w:t>
      </w:r>
      <w:r w:rsidR="007D18C6" w:rsidRPr="00EA1CA4">
        <w:t xml:space="preserve"> për të adresuar çështjet ndër</w:t>
      </w:r>
      <w:r w:rsidR="002842BB" w:rsidRPr="00EA1CA4">
        <w:t>-</w:t>
      </w:r>
      <w:r w:rsidR="007D18C6" w:rsidRPr="00EA1CA4">
        <w:t>sektoriale të HIV dhe TB që prekin popullatat e cenueshme për të dyja sëmundjet. Integra punon në forcimin e sistemeve të komunitetit dhe adresimin e barrierave të qasjes në shërbime në lidhje me të drejtat e njeriut, stigmën dhe diskriminimin</w:t>
      </w:r>
      <w:r w:rsidRPr="00EA1CA4">
        <w:t>.</w:t>
      </w:r>
    </w:p>
    <w:p w:rsidR="00DD5916" w:rsidRPr="00EA1CA4" w:rsidRDefault="00DD5916" w:rsidP="00624E04">
      <w:pPr>
        <w:spacing w:line="276" w:lineRule="auto"/>
        <w:jc w:val="both"/>
      </w:pPr>
    </w:p>
    <w:p w:rsidR="005240E4" w:rsidRPr="00EA1CA4" w:rsidRDefault="00FB5CF3" w:rsidP="00DD5916">
      <w:pPr>
        <w:rPr>
          <w:b/>
        </w:rPr>
      </w:pPr>
      <w:r w:rsidRPr="00EA1CA4">
        <w:rPr>
          <w:b/>
        </w:rPr>
        <w:t xml:space="preserve">6.5 </w:t>
      </w:r>
      <w:r w:rsidR="007D18C6" w:rsidRPr="00EA1CA4">
        <w:rPr>
          <w:b/>
        </w:rPr>
        <w:t>Monitorimi dhe raportimi</w:t>
      </w:r>
    </w:p>
    <w:p w:rsidR="00212EBC" w:rsidRPr="00EA1CA4" w:rsidRDefault="00212EBC" w:rsidP="00212EBC">
      <w:pPr>
        <w:spacing w:line="276" w:lineRule="auto"/>
        <w:jc w:val="both"/>
        <w:rPr>
          <w:noProof/>
        </w:rPr>
      </w:pPr>
      <w:r w:rsidRPr="00EA1CA4">
        <w:rPr>
          <w:noProof/>
        </w:rPr>
        <w:t>Monitorimi dhe Vlerësimi i Programit të TB bëhet nga DShV/ Koordinatori Kombëtar për TB, Divizioni për Monitorim dhe Vlerësim në MSh dhe IKShP</w:t>
      </w:r>
    </w:p>
    <w:p w:rsidR="0071161B" w:rsidRPr="00EA1CA4" w:rsidRDefault="007D18C6" w:rsidP="00624E04">
      <w:pPr>
        <w:spacing w:line="276" w:lineRule="auto"/>
        <w:jc w:val="both"/>
      </w:pPr>
      <w:r w:rsidRPr="00EA1CA4">
        <w:t>Ekziston një dokument i veçantë i Kornizës së Monitorimit dhe Vlerësimit, i cili u zhvillua pas finalizimit të Planit Kom</w:t>
      </w:r>
      <w:r w:rsidR="00376FAA" w:rsidRPr="00EA1CA4">
        <w:t xml:space="preserve">bëtar të Veprimit </w:t>
      </w:r>
      <w:r w:rsidR="00547B6C" w:rsidRPr="00EA1CA4">
        <w:t>kundër</w:t>
      </w:r>
      <w:r w:rsidR="00376FAA" w:rsidRPr="00EA1CA4">
        <w:t xml:space="preserve"> TB</w:t>
      </w:r>
      <w:r w:rsidR="00547B6C" w:rsidRPr="00EA1CA4">
        <w:t>-së</w:t>
      </w:r>
      <w:r w:rsidR="00376FAA" w:rsidRPr="00EA1CA4">
        <w:t>. Korniza</w:t>
      </w:r>
      <w:r w:rsidRPr="00EA1CA4">
        <w:t xml:space="preserve"> M</w:t>
      </w:r>
      <w:r w:rsidR="00212EBC" w:rsidRPr="00EA1CA4">
        <w:t>&amp;</w:t>
      </w:r>
      <w:r w:rsidRPr="00EA1CA4">
        <w:t>V ofron një sërë treguesish për fushat prioritare me objektiva dhe afate kohore të përcaktuara. Një grup i grumbullimit dhe analizës së të dhënave është planifikuar në kuadrin e Planit Kombëtar të Veprimit për TB</w:t>
      </w:r>
      <w:r w:rsidR="00547B6C" w:rsidRPr="00EA1CA4">
        <w:t>-në,</w:t>
      </w:r>
      <w:r w:rsidRPr="00EA1CA4">
        <w:t xml:space="preserve"> për të gjurmuar në mënyrë rutinore arritjet e shërbimeve dhe programit kundrejt objektivave të vendosura brenda Planit të Veprimit. M</w:t>
      </w:r>
      <w:r w:rsidR="00D43E0E" w:rsidRPr="00EA1CA4">
        <w:t xml:space="preserve">onitorimi </w:t>
      </w:r>
      <w:r w:rsidR="00547B6C" w:rsidRPr="00EA1CA4">
        <w:t>dhe</w:t>
      </w:r>
      <w:r w:rsidR="00D43E0E" w:rsidRPr="00EA1CA4">
        <w:t xml:space="preserve"> vler</w:t>
      </w:r>
      <w:r w:rsidR="00D6333D" w:rsidRPr="00EA1CA4">
        <w:t>ë</w:t>
      </w:r>
      <w:r w:rsidR="00D43E0E" w:rsidRPr="00EA1CA4">
        <w:t xml:space="preserve">simi </w:t>
      </w:r>
      <w:r w:rsidRPr="00EA1CA4">
        <w:t>sistematik dhe energjik do të udhë</w:t>
      </w:r>
      <w:r w:rsidR="00D43E0E" w:rsidRPr="00EA1CA4">
        <w:t>rr</w:t>
      </w:r>
      <w:r w:rsidR="00D6333D" w:rsidRPr="00EA1CA4">
        <w:t>ë</w:t>
      </w:r>
      <w:r w:rsidR="00D43E0E" w:rsidRPr="00EA1CA4">
        <w:t xml:space="preserve">fej </w:t>
      </w:r>
      <w:r w:rsidRPr="00EA1CA4">
        <w:t xml:space="preserve">procesin e vendimmarrjes për të arritur përdorimin </w:t>
      </w:r>
      <w:r w:rsidR="00D43E0E" w:rsidRPr="00EA1CA4">
        <w:t xml:space="preserve">sa </w:t>
      </w:r>
      <w:r w:rsidRPr="00EA1CA4">
        <w:t>më efikas të burimeve</w:t>
      </w:r>
      <w:r w:rsidR="00BB5A50" w:rsidRPr="00EA1CA4">
        <w:t xml:space="preserve">. </w:t>
      </w:r>
    </w:p>
    <w:p w:rsidR="00FB5CF3" w:rsidRPr="00EA1CA4" w:rsidRDefault="007D18C6" w:rsidP="00624E04">
      <w:pPr>
        <w:spacing w:line="276" w:lineRule="auto"/>
        <w:jc w:val="both"/>
      </w:pPr>
      <w:r w:rsidRPr="00EA1CA4">
        <w:t>Ndërsa partnerët zbatues do të gjurmojnë në mënyrë rutinore treguesit e hyrjes dhe procesit, Korniza e M</w:t>
      </w:r>
      <w:r w:rsidR="00212EBC" w:rsidRPr="00EA1CA4">
        <w:t>&amp;</w:t>
      </w:r>
      <w:r w:rsidRPr="00EA1CA4">
        <w:t>V për Planin Kombëtar të Veprimit për TB do të fokusohet kryesisht në treguesit e p</w:t>
      </w:r>
      <w:r w:rsidR="00D43E0E" w:rsidRPr="00EA1CA4">
        <w:t>erformanc</w:t>
      </w:r>
      <w:r w:rsidR="00D6333D" w:rsidRPr="00EA1CA4">
        <w:t>ë</w:t>
      </w:r>
      <w:r w:rsidR="00D43E0E" w:rsidRPr="00EA1CA4">
        <w:t>s</w:t>
      </w:r>
      <w:r w:rsidRPr="00EA1CA4">
        <w:t>, rezultatit dhe nivelit të ndikimit</w:t>
      </w:r>
      <w:r w:rsidR="00BB5A50" w:rsidRPr="00EA1CA4">
        <w:t xml:space="preserve">. </w:t>
      </w:r>
    </w:p>
    <w:p w:rsidR="005006C5" w:rsidRPr="00EA1CA4" w:rsidRDefault="007D18C6" w:rsidP="00624E04">
      <w:pPr>
        <w:spacing w:line="276" w:lineRule="auto"/>
        <w:jc w:val="both"/>
      </w:pPr>
      <w:r w:rsidRPr="00EA1CA4">
        <w:t>Për të harmonizuar treguesit e TB-së në Kosovë me kornizat globale të M</w:t>
      </w:r>
      <w:r w:rsidR="00222148" w:rsidRPr="00EA1CA4">
        <w:t>dhe</w:t>
      </w:r>
      <w:r w:rsidRPr="00EA1CA4">
        <w:t xml:space="preserve">V të TB-së, treguesit kryesorë relevantë për programin kombëtar të TB-së në Kosovë, janë zgjedhur nga grupi i 10 treguesve kryesorë evropianë dhe treguesve Global Top-10 të zhvilluar nga selia e OBSH-së për Planin e Veprimit për Tuberkulozin për vitet 2021-2030. Treguesit e nivelit të ndikimit – shkalla e incidencës së TB-së dhe </w:t>
      </w:r>
      <w:r w:rsidRPr="00EA1CA4">
        <w:lastRenderedPageBreak/>
        <w:t xml:space="preserve">vdekshmëria e TB-së për 100,000 banorë, do të përdoren për të matur se deri në çfarë mase programi kombëtar për TB po e arrin qëllimin e programit. Treguesit e nivelit të rezultateve përfshijnë respektimin e trajtimit dhe normat e suksesit në mesin e të gjitha llojeve të TB-së, si dhe mbulimin e kontakteve me kontrollin sistematik për TB aktiv, mbulimin e trajtimit </w:t>
      </w:r>
      <w:r w:rsidR="002070A5" w:rsidRPr="00EA1CA4">
        <w:t>I</w:t>
      </w:r>
      <w:r w:rsidRPr="00EA1CA4">
        <w:t>LTB, mbulimin e testimit në mesin e popullatave me rrezikshmëri të lartë, siç janë njerëzit që jetojnë me HIV, komunitetet RAE etj</w:t>
      </w:r>
      <w:r w:rsidR="00235D30" w:rsidRPr="00EA1CA4">
        <w:t xml:space="preserve">. </w:t>
      </w:r>
    </w:p>
    <w:p w:rsidR="0071161B" w:rsidRPr="00EA1CA4" w:rsidRDefault="00BF5EB1" w:rsidP="00624E04">
      <w:pPr>
        <w:spacing w:line="276" w:lineRule="auto"/>
        <w:jc w:val="both"/>
      </w:pPr>
      <w:r w:rsidRPr="00EA1CA4">
        <w:t>Krahas monitorimit rutin</w:t>
      </w:r>
      <w:r w:rsidR="00547B6C" w:rsidRPr="00EA1CA4">
        <w:t>orë</w:t>
      </w:r>
      <w:r w:rsidRPr="00EA1CA4">
        <w:t>, do të kryhen një sërë studimesh kërkimore, si p.sh.: ekzaminimi për TB tek punonjësit e kujdesit shëndetësor; Stigma e lidhur me TB; Komunitetet e TB-së, të drejtat e njeriut dhe gjinia (CRG) vlerësimi i përgjigjes kombëtare ndaj TB, etj. Këto studime do të gjenerojnë të dhëna të vlefshme për hartimin dhe programimin e politikave të bazuara në dëshmi</w:t>
      </w:r>
      <w:r w:rsidR="00BB5A50" w:rsidRPr="00EA1CA4">
        <w:t>.</w:t>
      </w:r>
    </w:p>
    <w:p w:rsidR="00121B64" w:rsidRPr="00EA1CA4" w:rsidRDefault="00BF5EB1" w:rsidP="00624E04">
      <w:pPr>
        <w:spacing w:line="276" w:lineRule="auto"/>
        <w:jc w:val="both"/>
        <w:rPr>
          <w:lang w:eastAsia="en-US"/>
        </w:rPr>
      </w:pPr>
      <w:r w:rsidRPr="00EA1CA4">
        <w:t>Institucioni kryesor përgjegjës për M</w:t>
      </w:r>
      <w:r w:rsidR="00222148" w:rsidRPr="00EA1CA4">
        <w:t>dheV</w:t>
      </w:r>
      <w:r w:rsidRPr="00EA1CA4">
        <w:t xml:space="preserve"> të TB është Ministria e Shëndetësisë me Njësinë e saj të Menaxhimit Qendror të Tuberkulozit. Në përgjithësi, institucione të shumta do të përfshihen në monitorimin dhe vlerësimin e Planit Kombëtar të Veprimit për TB-në, gjë që do të kërkojë forcimin e kapaciteteve teknike, si dhe përmirësimin e koordinimit dhe komunikimit në nivele të ndryshme të palëve të interesuara. Ndarja dhe vlefshmëria e të dhënave do të kryhet në mënyrë rutinore. Raportet e M</w:t>
      </w:r>
      <w:r w:rsidR="00222148" w:rsidRPr="00EA1CA4">
        <w:t>dhe</w:t>
      </w:r>
      <w:r w:rsidRPr="00EA1CA4">
        <w:t>V dhe raportet e studimit do të jenë të qasshme për publikun</w:t>
      </w:r>
      <w:r w:rsidR="00E025F7" w:rsidRPr="00EA1CA4">
        <w:t xml:space="preserve">. </w:t>
      </w:r>
    </w:p>
    <w:p w:rsidR="00BE71AB" w:rsidRPr="00EA1CA4" w:rsidRDefault="00BE71AB" w:rsidP="00BE71AB">
      <w:pPr>
        <w:spacing w:after="200" w:line="276" w:lineRule="auto"/>
        <w:rPr>
          <w:lang w:eastAsia="en-US"/>
        </w:rPr>
      </w:pPr>
    </w:p>
    <w:p w:rsidR="0076045E" w:rsidRPr="00EA1CA4" w:rsidRDefault="0076045E" w:rsidP="00BE71AB">
      <w:pPr>
        <w:spacing w:after="200" w:line="276" w:lineRule="auto"/>
        <w:rPr>
          <w:b/>
          <w:lang w:eastAsia="en-US"/>
        </w:rPr>
      </w:pPr>
      <w:r w:rsidRPr="00EA1CA4">
        <w:rPr>
          <w:b/>
          <w:lang w:eastAsia="en-US"/>
        </w:rPr>
        <w:t>7. Implikimet buxhetore dhe zbatimi i planit të veprimit</w:t>
      </w:r>
    </w:p>
    <w:p w:rsidR="0076045E" w:rsidRPr="00EA1CA4" w:rsidRDefault="0076045E" w:rsidP="0076045E">
      <w:pPr>
        <w:pStyle w:val="ListParagraph"/>
        <w:rPr>
          <w:rFonts w:ascii="Times New Roman" w:hAnsi="Times New Roman"/>
          <w:b/>
          <w:sz w:val="24"/>
          <w:szCs w:val="24"/>
          <w:lang w:val="sq-AL"/>
        </w:rPr>
      </w:pPr>
      <w:r w:rsidRPr="00EA1CA4">
        <w:rPr>
          <w:rFonts w:ascii="Times New Roman" w:hAnsi="Times New Roman"/>
          <w:sz w:val="24"/>
          <w:szCs w:val="24"/>
          <w:lang w:val="sq-AL"/>
        </w:rPr>
        <w:t xml:space="preserve">Financimi i PV për TB 2022-2024 behët kryesisht nga </w:t>
      </w:r>
      <w:r w:rsidRPr="00EA1CA4">
        <w:rPr>
          <w:rFonts w:ascii="Times New Roman" w:hAnsi="Times New Roman"/>
          <w:b/>
          <w:sz w:val="24"/>
          <w:szCs w:val="24"/>
          <w:lang w:val="sq-AL"/>
        </w:rPr>
        <w:t>Donatori</w:t>
      </w:r>
      <w:r w:rsidRPr="00EA1CA4">
        <w:rPr>
          <w:rFonts w:ascii="Times New Roman" w:hAnsi="Times New Roman"/>
          <w:sz w:val="24"/>
          <w:szCs w:val="24"/>
          <w:lang w:val="sq-AL"/>
        </w:rPr>
        <w:t xml:space="preserve"> </w:t>
      </w:r>
      <w:r w:rsidRPr="00EA1CA4">
        <w:rPr>
          <w:rFonts w:ascii="Times New Roman" w:hAnsi="Times New Roman"/>
          <w:b/>
          <w:sz w:val="24"/>
          <w:szCs w:val="24"/>
          <w:lang w:val="sq-AL"/>
        </w:rPr>
        <w:t>Fondi Global</w:t>
      </w:r>
      <w:r w:rsidRPr="00EA1CA4">
        <w:rPr>
          <w:rFonts w:ascii="Times New Roman" w:hAnsi="Times New Roman"/>
          <w:sz w:val="24"/>
          <w:szCs w:val="24"/>
          <w:lang w:val="sq-AL"/>
        </w:rPr>
        <w:t xml:space="preserve"> në shumën prej </w:t>
      </w:r>
      <w:r w:rsidRPr="00EA1CA4">
        <w:rPr>
          <w:rFonts w:ascii="Times New Roman" w:hAnsi="Times New Roman"/>
          <w:b/>
          <w:sz w:val="24"/>
          <w:szCs w:val="24"/>
          <w:lang w:val="sq-AL"/>
        </w:rPr>
        <w:t>900,000.00.</w:t>
      </w:r>
    </w:p>
    <w:p w:rsidR="002A5295" w:rsidRPr="00EA1CA4" w:rsidRDefault="0076045E" w:rsidP="00F5338A">
      <w:pPr>
        <w:pStyle w:val="ListParagraph"/>
        <w:rPr>
          <w:rFonts w:ascii="Times New Roman" w:hAnsi="Times New Roman"/>
          <w:sz w:val="24"/>
          <w:szCs w:val="24"/>
          <w:lang w:val="sq-AL"/>
        </w:rPr>
        <w:sectPr w:rsidR="002A5295" w:rsidRPr="00EA1CA4" w:rsidSect="00400071">
          <w:footerReference w:type="default" r:id="rId12"/>
          <w:pgSz w:w="12240" w:h="15840"/>
          <w:pgMar w:top="540" w:right="1041" w:bottom="1080" w:left="1276" w:header="720" w:footer="465" w:gutter="0"/>
          <w:cols w:space="720"/>
          <w:rtlGutter/>
        </w:sectPr>
      </w:pPr>
      <w:r w:rsidRPr="00EA1CA4">
        <w:rPr>
          <w:rFonts w:ascii="Times New Roman" w:hAnsi="Times New Roman"/>
          <w:b/>
          <w:sz w:val="24"/>
          <w:szCs w:val="24"/>
          <w:lang w:val="sq-AL"/>
        </w:rPr>
        <w:t xml:space="preserve"> </w:t>
      </w:r>
      <w:r w:rsidRPr="00EA1CA4">
        <w:rPr>
          <w:rFonts w:ascii="Times New Roman" w:hAnsi="Times New Roman"/>
          <w:sz w:val="24"/>
          <w:szCs w:val="24"/>
          <w:lang w:val="sq-AL"/>
        </w:rPr>
        <w:t>Nga buxheti i Ministrisë së Shëndetësisë në PV për TB, planifikohet buxhet për përkrahjen e OJQ-ve që që kujdesen për parandalimin dhe kujdesin ndaj të sëmurëve me TB</w:t>
      </w:r>
      <w:r w:rsidR="00F5338A" w:rsidRPr="00EA1CA4">
        <w:rPr>
          <w:rFonts w:ascii="Times New Roman" w:hAnsi="Times New Roman"/>
          <w:sz w:val="24"/>
          <w:szCs w:val="24"/>
          <w:lang w:val="sq-AL"/>
        </w:rPr>
        <w:t>.  B</w:t>
      </w:r>
      <w:r w:rsidRPr="00EA1CA4">
        <w:rPr>
          <w:rFonts w:ascii="Times New Roman" w:hAnsi="Times New Roman"/>
          <w:sz w:val="24"/>
          <w:szCs w:val="24"/>
          <w:lang w:val="sq-AL"/>
        </w:rPr>
        <w:t xml:space="preserve">uxheti vlerësohet të jetë </w:t>
      </w:r>
      <w:r w:rsidR="00F5338A" w:rsidRPr="00EA1CA4">
        <w:rPr>
          <w:rFonts w:ascii="Times New Roman" w:hAnsi="Times New Roman"/>
          <w:b/>
          <w:sz w:val="24"/>
          <w:szCs w:val="24"/>
          <w:lang w:val="sq-AL"/>
        </w:rPr>
        <w:t>per vitin 2023 shuma prej 15,000 € per vitin 2024 shuma prej 35,000 €</w:t>
      </w:r>
    </w:p>
    <w:p w:rsidR="0054416D" w:rsidRPr="00EA1CA4" w:rsidRDefault="00547B6C" w:rsidP="00DA78D3">
      <w:pPr>
        <w:pStyle w:val="Heading1"/>
        <w:rPr>
          <w:rFonts w:ascii="Times New Roman" w:hAnsi="Times New Roman"/>
          <w:szCs w:val="24"/>
        </w:rPr>
      </w:pPr>
      <w:bookmarkStart w:id="47" w:name="_Toc108517256"/>
      <w:r w:rsidRPr="00EA1CA4">
        <w:rPr>
          <w:rFonts w:ascii="Times New Roman" w:hAnsi="Times New Roman"/>
          <w:szCs w:val="24"/>
        </w:rPr>
        <w:lastRenderedPageBreak/>
        <w:t>Shtojca</w:t>
      </w:r>
      <w:r w:rsidR="00245141" w:rsidRPr="00EA1CA4">
        <w:rPr>
          <w:rFonts w:ascii="Times New Roman" w:hAnsi="Times New Roman"/>
          <w:szCs w:val="24"/>
        </w:rPr>
        <w:t xml:space="preserve"> A</w:t>
      </w:r>
      <w:r w:rsidR="002A5295" w:rsidRPr="00EA1CA4">
        <w:rPr>
          <w:rFonts w:ascii="Times New Roman" w:hAnsi="Times New Roman"/>
          <w:szCs w:val="24"/>
        </w:rPr>
        <w:t xml:space="preserve">: </w:t>
      </w:r>
      <w:r w:rsidR="0068141A" w:rsidRPr="00EA1CA4">
        <w:rPr>
          <w:rFonts w:ascii="Times New Roman" w:hAnsi="Times New Roman"/>
          <w:szCs w:val="24"/>
        </w:rPr>
        <w:t>Përshkrimi i detajuar i objektivave specifike dhe aktiviteteve të p</w:t>
      </w:r>
      <w:r w:rsidR="00E25613" w:rsidRPr="00EA1CA4">
        <w:rPr>
          <w:rFonts w:ascii="Times New Roman" w:hAnsi="Times New Roman"/>
          <w:szCs w:val="24"/>
        </w:rPr>
        <w:t>lanifikuara</w:t>
      </w:r>
      <w:bookmarkEnd w:id="47"/>
    </w:p>
    <w:p w:rsidR="00E25613" w:rsidRPr="00EA1CA4" w:rsidRDefault="00E25613" w:rsidP="00624E04">
      <w:pPr>
        <w:spacing w:line="276" w:lineRule="auto"/>
        <w:jc w:val="both"/>
      </w:pPr>
    </w:p>
    <w:p w:rsidR="00AB7EA0" w:rsidRPr="00EA1CA4" w:rsidRDefault="00E25613" w:rsidP="00624E04">
      <w:pPr>
        <w:spacing w:line="276" w:lineRule="auto"/>
        <w:jc w:val="both"/>
      </w:pPr>
      <w:r w:rsidRPr="00EA1CA4">
        <w:rPr>
          <w:b/>
          <w:i/>
        </w:rPr>
        <w:t xml:space="preserve">Synimi kryesor i kontrollit të TB-së në Kosovë </w:t>
      </w:r>
      <w:r w:rsidRPr="00EA1CA4">
        <w:t>është të zvogëlojë barrën e TB-së dhe ndikimin e saj në shëndetin e popullatës, dhe zhvillimin e përgjithshëm social dhe ekonomik në vend</w:t>
      </w:r>
      <w:r w:rsidR="00222148" w:rsidRPr="00EA1CA4">
        <w:t>,</w:t>
      </w:r>
      <w:r w:rsidRPr="00EA1CA4">
        <w:t xml:space="preserve"> duke siguruar qasje universale në diagnostikimin, kujdesin dhe trajtimin në kohë dhe cilësor për të gjitha format e TB-së</w:t>
      </w:r>
      <w:r w:rsidR="00AB7EA0" w:rsidRPr="00EA1CA4">
        <w:t xml:space="preserve">. </w:t>
      </w:r>
    </w:p>
    <w:p w:rsidR="00AB7EA0" w:rsidRPr="00EA1CA4" w:rsidRDefault="00E25613" w:rsidP="00624E04">
      <w:pPr>
        <w:spacing w:line="276" w:lineRule="auto"/>
        <w:jc w:val="both"/>
        <w:rPr>
          <w:b/>
        </w:rPr>
      </w:pPr>
      <w:r w:rsidRPr="00EA1CA4">
        <w:rPr>
          <w:b/>
        </w:rPr>
        <w:t>Ndikimi i pritshëm</w:t>
      </w:r>
      <w:r w:rsidR="00AB7EA0" w:rsidRPr="00EA1CA4">
        <w:rPr>
          <w:b/>
        </w:rPr>
        <w:t xml:space="preserve">: </w:t>
      </w:r>
    </w:p>
    <w:p w:rsidR="00AB7EA0" w:rsidRPr="00EA1CA4" w:rsidRDefault="00E25613">
      <w:pPr>
        <w:pStyle w:val="ListParagraph"/>
        <w:numPr>
          <w:ilvl w:val="0"/>
          <w:numId w:val="2"/>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Ulja e vdekshmërisë nga TB në Kosovë nga 1.35/100,000 </w:t>
      </w:r>
      <w:r w:rsidR="00222148" w:rsidRPr="00EA1CA4">
        <w:rPr>
          <w:rFonts w:ascii="Times New Roman" w:hAnsi="Times New Roman"/>
          <w:sz w:val="24"/>
          <w:szCs w:val="24"/>
          <w:lang w:val="sq-AL"/>
        </w:rPr>
        <w:t xml:space="preserve">të </w:t>
      </w:r>
      <w:r w:rsidRPr="00EA1CA4">
        <w:rPr>
          <w:rFonts w:ascii="Times New Roman" w:hAnsi="Times New Roman"/>
          <w:sz w:val="24"/>
          <w:szCs w:val="24"/>
          <w:lang w:val="sq-AL"/>
        </w:rPr>
        <w:t>popullsi</w:t>
      </w:r>
      <w:r w:rsidR="00222148" w:rsidRPr="00EA1CA4">
        <w:rPr>
          <w:rFonts w:ascii="Times New Roman" w:hAnsi="Times New Roman"/>
          <w:sz w:val="24"/>
          <w:szCs w:val="24"/>
          <w:lang w:val="sq-AL"/>
        </w:rPr>
        <w:t>së</w:t>
      </w:r>
      <w:r w:rsidRPr="00EA1CA4">
        <w:rPr>
          <w:rFonts w:ascii="Times New Roman" w:hAnsi="Times New Roman"/>
          <w:sz w:val="24"/>
          <w:szCs w:val="24"/>
          <w:lang w:val="sq-AL"/>
        </w:rPr>
        <w:t xml:space="preserve"> </w:t>
      </w:r>
      <w:r w:rsidR="00222148" w:rsidRPr="00EA1CA4">
        <w:rPr>
          <w:rFonts w:ascii="Times New Roman" w:hAnsi="Times New Roman"/>
          <w:sz w:val="24"/>
          <w:szCs w:val="24"/>
          <w:lang w:val="sq-AL"/>
        </w:rPr>
        <w:t xml:space="preserve">sa </w:t>
      </w:r>
      <w:r w:rsidR="00DD085C" w:rsidRPr="00EA1CA4">
        <w:rPr>
          <w:rFonts w:ascii="Times New Roman" w:hAnsi="Times New Roman"/>
          <w:sz w:val="24"/>
          <w:szCs w:val="24"/>
          <w:lang w:val="sq-AL"/>
        </w:rPr>
        <w:t xml:space="preserve">ishte </w:t>
      </w:r>
      <w:r w:rsidRPr="00EA1CA4">
        <w:rPr>
          <w:rFonts w:ascii="Times New Roman" w:hAnsi="Times New Roman"/>
          <w:sz w:val="24"/>
          <w:szCs w:val="24"/>
          <w:lang w:val="sq-AL"/>
        </w:rPr>
        <w:t>në vitin 2019</w:t>
      </w:r>
      <w:r w:rsidR="00222148" w:rsidRPr="00EA1CA4">
        <w:rPr>
          <w:rFonts w:ascii="Times New Roman" w:hAnsi="Times New Roman"/>
          <w:sz w:val="24"/>
          <w:szCs w:val="24"/>
          <w:lang w:val="sq-AL"/>
        </w:rPr>
        <w:t>,</w:t>
      </w:r>
      <w:r w:rsidRPr="00EA1CA4">
        <w:rPr>
          <w:rFonts w:ascii="Times New Roman" w:hAnsi="Times New Roman"/>
          <w:sz w:val="24"/>
          <w:szCs w:val="24"/>
          <w:lang w:val="sq-AL"/>
        </w:rPr>
        <w:t xml:space="preserve"> në nën &lt;1,1/100,000 </w:t>
      </w:r>
      <w:r w:rsidR="00222148" w:rsidRPr="00EA1CA4">
        <w:rPr>
          <w:rFonts w:ascii="Times New Roman" w:hAnsi="Times New Roman"/>
          <w:sz w:val="24"/>
          <w:szCs w:val="24"/>
          <w:lang w:val="sq-AL"/>
        </w:rPr>
        <w:t xml:space="preserve">të </w:t>
      </w:r>
      <w:r w:rsidRPr="00EA1CA4">
        <w:rPr>
          <w:rFonts w:ascii="Times New Roman" w:hAnsi="Times New Roman"/>
          <w:sz w:val="24"/>
          <w:szCs w:val="24"/>
          <w:lang w:val="sq-AL"/>
        </w:rPr>
        <w:t>popullsi</w:t>
      </w:r>
      <w:r w:rsidR="00222148" w:rsidRPr="00EA1CA4">
        <w:rPr>
          <w:rFonts w:ascii="Times New Roman" w:hAnsi="Times New Roman"/>
          <w:sz w:val="24"/>
          <w:szCs w:val="24"/>
          <w:lang w:val="sq-AL"/>
        </w:rPr>
        <w:t>së</w:t>
      </w:r>
      <w:r w:rsidR="00AB7EA0" w:rsidRPr="00EA1CA4">
        <w:rPr>
          <w:rStyle w:val="FootnoteReference"/>
          <w:rFonts w:ascii="Times New Roman" w:hAnsi="Times New Roman"/>
          <w:sz w:val="24"/>
          <w:szCs w:val="24"/>
          <w:lang w:val="sq-AL"/>
        </w:rPr>
        <w:footnoteReference w:id="26"/>
      </w:r>
      <w:r w:rsidR="00AB7EA0" w:rsidRPr="00EA1CA4">
        <w:rPr>
          <w:rFonts w:ascii="Times New Roman" w:hAnsi="Times New Roman"/>
          <w:sz w:val="24"/>
          <w:szCs w:val="24"/>
          <w:lang w:val="sq-AL"/>
        </w:rPr>
        <w:t xml:space="preserve">. </w:t>
      </w:r>
      <w:r w:rsidR="00AB7EA0" w:rsidRPr="00EA1CA4">
        <w:rPr>
          <w:rStyle w:val="FootnoteReference"/>
          <w:rFonts w:ascii="Times New Roman" w:hAnsi="Times New Roman"/>
          <w:sz w:val="24"/>
          <w:szCs w:val="24"/>
          <w:lang w:val="sq-AL"/>
        </w:rPr>
        <w:footnoteReference w:id="27"/>
      </w:r>
    </w:p>
    <w:p w:rsidR="00AB7EA0" w:rsidRPr="00EA1CA4" w:rsidRDefault="00E25613">
      <w:pPr>
        <w:pStyle w:val="ListParagraph"/>
        <w:numPr>
          <w:ilvl w:val="0"/>
          <w:numId w:val="2"/>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Ulja e incidencës së përgjithshme të të gjitha formave të TB</w:t>
      </w:r>
      <w:r w:rsidR="00222148" w:rsidRPr="00EA1CA4">
        <w:rPr>
          <w:rFonts w:ascii="Times New Roman" w:hAnsi="Times New Roman"/>
          <w:sz w:val="24"/>
          <w:szCs w:val="24"/>
          <w:lang w:val="sq-AL"/>
        </w:rPr>
        <w:t>-së</w:t>
      </w:r>
      <w:r w:rsidRPr="00EA1CA4">
        <w:rPr>
          <w:rFonts w:ascii="Times New Roman" w:hAnsi="Times New Roman"/>
          <w:sz w:val="24"/>
          <w:szCs w:val="24"/>
          <w:lang w:val="sq-AL"/>
        </w:rPr>
        <w:t xml:space="preserve"> (të konfirmuara bakteriologjikisht plus të diagnostikuara klinikisht, rastet e reja dhe të </w:t>
      </w:r>
      <w:r w:rsidR="00222148" w:rsidRPr="00EA1CA4">
        <w:rPr>
          <w:rFonts w:ascii="Times New Roman" w:hAnsi="Times New Roman"/>
          <w:sz w:val="24"/>
          <w:szCs w:val="24"/>
          <w:lang w:val="sq-AL"/>
        </w:rPr>
        <w:t>përsëritura</w:t>
      </w:r>
      <w:r w:rsidRPr="00EA1CA4">
        <w:rPr>
          <w:rFonts w:ascii="Times New Roman" w:hAnsi="Times New Roman"/>
          <w:sz w:val="24"/>
          <w:szCs w:val="24"/>
          <w:lang w:val="sq-AL"/>
        </w:rPr>
        <w:t>) nga 33.8</w:t>
      </w:r>
      <w:r w:rsidR="00222148" w:rsidRPr="00EA1CA4">
        <w:rPr>
          <w:rFonts w:ascii="Times New Roman" w:hAnsi="Times New Roman"/>
          <w:sz w:val="24"/>
          <w:szCs w:val="24"/>
          <w:lang w:val="sq-AL"/>
        </w:rPr>
        <w:t>/</w:t>
      </w:r>
      <w:r w:rsidRPr="00EA1CA4">
        <w:rPr>
          <w:rFonts w:ascii="Times New Roman" w:hAnsi="Times New Roman"/>
          <w:sz w:val="24"/>
          <w:szCs w:val="24"/>
          <w:lang w:val="sq-AL"/>
        </w:rPr>
        <w:t xml:space="preserve">100,000 </w:t>
      </w:r>
      <w:r w:rsidR="00222148" w:rsidRPr="00EA1CA4">
        <w:rPr>
          <w:rFonts w:ascii="Times New Roman" w:hAnsi="Times New Roman"/>
          <w:sz w:val="24"/>
          <w:szCs w:val="24"/>
          <w:lang w:val="sq-AL"/>
        </w:rPr>
        <w:t xml:space="preserve">të </w:t>
      </w:r>
      <w:r w:rsidRPr="00EA1CA4">
        <w:rPr>
          <w:rFonts w:ascii="Times New Roman" w:hAnsi="Times New Roman"/>
          <w:sz w:val="24"/>
          <w:szCs w:val="24"/>
          <w:lang w:val="sq-AL"/>
        </w:rPr>
        <w:t>popull</w:t>
      </w:r>
      <w:r w:rsidR="00222148" w:rsidRPr="00EA1CA4">
        <w:rPr>
          <w:rFonts w:ascii="Times New Roman" w:hAnsi="Times New Roman"/>
          <w:sz w:val="24"/>
          <w:szCs w:val="24"/>
          <w:lang w:val="sq-AL"/>
        </w:rPr>
        <w:t>sis</w:t>
      </w:r>
      <w:r w:rsidRPr="00EA1CA4">
        <w:rPr>
          <w:rFonts w:ascii="Times New Roman" w:hAnsi="Times New Roman"/>
          <w:sz w:val="24"/>
          <w:szCs w:val="24"/>
          <w:lang w:val="sq-AL"/>
        </w:rPr>
        <w:t>ë në</w:t>
      </w:r>
      <w:r w:rsidR="00222148" w:rsidRPr="00EA1CA4">
        <w:rPr>
          <w:rFonts w:ascii="Times New Roman" w:hAnsi="Times New Roman"/>
          <w:sz w:val="24"/>
          <w:szCs w:val="24"/>
          <w:lang w:val="sq-AL"/>
        </w:rPr>
        <w:t xml:space="preserve"> vitin</w:t>
      </w:r>
      <w:r w:rsidRPr="00EA1CA4">
        <w:rPr>
          <w:rFonts w:ascii="Times New Roman" w:hAnsi="Times New Roman"/>
          <w:sz w:val="24"/>
          <w:szCs w:val="24"/>
          <w:lang w:val="sq-AL"/>
        </w:rPr>
        <w:t xml:space="preserve"> 2019</w:t>
      </w:r>
      <w:r w:rsidR="00AB7EA0" w:rsidRPr="00EA1CA4">
        <w:rPr>
          <w:rStyle w:val="FootnoteReference"/>
          <w:rFonts w:ascii="Times New Roman" w:hAnsi="Times New Roman"/>
          <w:sz w:val="24"/>
          <w:szCs w:val="24"/>
          <w:lang w:val="sq-AL"/>
        </w:rPr>
        <w:footnoteReference w:id="28"/>
      </w:r>
      <w:r w:rsidR="00222148" w:rsidRPr="00EA1CA4">
        <w:rPr>
          <w:rFonts w:ascii="Times New Roman" w:hAnsi="Times New Roman"/>
          <w:sz w:val="24"/>
          <w:szCs w:val="24"/>
          <w:lang w:val="sq-AL"/>
        </w:rPr>
        <w:t xml:space="preserve">, </w:t>
      </w:r>
      <w:r w:rsidRPr="00EA1CA4">
        <w:rPr>
          <w:rFonts w:ascii="Times New Roman" w:hAnsi="Times New Roman"/>
          <w:sz w:val="24"/>
          <w:szCs w:val="24"/>
          <w:lang w:val="sq-AL"/>
        </w:rPr>
        <w:t>në &lt;20,0</w:t>
      </w:r>
      <w:r w:rsidR="00222148" w:rsidRPr="00EA1CA4">
        <w:rPr>
          <w:rFonts w:ascii="Times New Roman" w:hAnsi="Times New Roman"/>
          <w:sz w:val="24"/>
          <w:szCs w:val="24"/>
          <w:lang w:val="sq-AL"/>
        </w:rPr>
        <w:t>/</w:t>
      </w:r>
      <w:r w:rsidRPr="00EA1CA4">
        <w:rPr>
          <w:rFonts w:ascii="Times New Roman" w:hAnsi="Times New Roman"/>
          <w:sz w:val="24"/>
          <w:szCs w:val="24"/>
          <w:lang w:val="sq-AL"/>
        </w:rPr>
        <w:t xml:space="preserve">100,000 </w:t>
      </w:r>
      <w:r w:rsidR="00222148" w:rsidRPr="00EA1CA4">
        <w:rPr>
          <w:rFonts w:ascii="Times New Roman" w:hAnsi="Times New Roman"/>
          <w:sz w:val="24"/>
          <w:szCs w:val="24"/>
          <w:lang w:val="sq-AL"/>
        </w:rPr>
        <w:t xml:space="preserve">të popullsisë </w:t>
      </w:r>
      <w:r w:rsidRPr="00EA1CA4">
        <w:rPr>
          <w:rFonts w:ascii="Times New Roman" w:hAnsi="Times New Roman"/>
          <w:sz w:val="24"/>
          <w:szCs w:val="24"/>
          <w:lang w:val="sq-AL"/>
        </w:rPr>
        <w:t>në</w:t>
      </w:r>
      <w:r w:rsidR="00DD085C" w:rsidRPr="00EA1CA4">
        <w:rPr>
          <w:rFonts w:ascii="Times New Roman" w:hAnsi="Times New Roman"/>
          <w:sz w:val="24"/>
          <w:szCs w:val="24"/>
          <w:lang w:val="sq-AL"/>
        </w:rPr>
        <w:t xml:space="preserve"> vitin</w:t>
      </w:r>
      <w:r w:rsidRPr="00EA1CA4">
        <w:rPr>
          <w:rFonts w:ascii="Times New Roman" w:hAnsi="Times New Roman"/>
          <w:sz w:val="24"/>
          <w:szCs w:val="24"/>
          <w:lang w:val="sq-AL"/>
        </w:rPr>
        <w:t xml:space="preserve"> 2024</w:t>
      </w:r>
      <w:r w:rsidR="00222148" w:rsidRPr="00EA1CA4">
        <w:rPr>
          <w:rFonts w:ascii="Times New Roman" w:hAnsi="Times New Roman"/>
          <w:sz w:val="24"/>
          <w:szCs w:val="24"/>
          <w:lang w:val="sq-AL"/>
        </w:rPr>
        <w:t>.</w:t>
      </w:r>
      <w:r w:rsidR="00AB7EA0" w:rsidRPr="00EA1CA4">
        <w:rPr>
          <w:rStyle w:val="FootnoteReference"/>
          <w:rFonts w:ascii="Times New Roman" w:hAnsi="Times New Roman"/>
          <w:sz w:val="24"/>
          <w:szCs w:val="24"/>
          <w:lang w:val="sq-AL"/>
        </w:rPr>
        <w:footnoteReference w:id="29"/>
      </w:r>
    </w:p>
    <w:p w:rsidR="00AB7EA0" w:rsidRPr="00EA1CA4" w:rsidRDefault="00DD085C" w:rsidP="00624E04">
      <w:pPr>
        <w:spacing w:line="276" w:lineRule="auto"/>
        <w:jc w:val="both"/>
      </w:pPr>
      <w:r w:rsidRPr="00EA1CA4">
        <w:t>Plani Kombëtar i Veprimit kundër TB-së për Kosovën 2022–2024 është në harmoni me partneritetin STOP TB dhe Planin e Veprimit të OBSH-së për Rajonin e BE-së (2016-2020)</w:t>
      </w:r>
      <w:r w:rsidRPr="00EA1CA4">
        <w:rPr>
          <w:vertAlign w:val="superscript"/>
        </w:rPr>
        <w:footnoteReference w:id="30"/>
      </w:r>
      <w:r w:rsidRPr="00EA1CA4">
        <w:t>, dhe Strategjia e përditësuar e Sektorit të Shëndetësisë për Kosovën 2017-2021, e cila i referohet specifikisht uljes së incidencës së sëmundjeve ngjitëse, siç janë TB dhe HIV, duke zbatuar plane veprimi specifike, monitorimin e rezistencës anti-mikrobike, parandalimin e infeksioneve spitalore dhe forcimin e mbikëqyrjes dhe monitorimin e sëmundjeve infektive</w:t>
      </w:r>
      <w:r w:rsidR="00AB7EA0" w:rsidRPr="00EA1CA4">
        <w:t>.</w:t>
      </w:r>
      <w:r w:rsidR="00AB7EA0" w:rsidRPr="00EA1CA4">
        <w:rPr>
          <w:rStyle w:val="FootnoteReference"/>
        </w:rPr>
        <w:footnoteReference w:id="31"/>
      </w:r>
    </w:p>
    <w:p w:rsidR="00DD085C" w:rsidRPr="00EA1CA4" w:rsidRDefault="00DD085C" w:rsidP="00624E04">
      <w:pPr>
        <w:spacing w:line="276" w:lineRule="auto"/>
        <w:jc w:val="both"/>
      </w:pPr>
    </w:p>
    <w:p w:rsidR="00AB7EA0" w:rsidRPr="00EA1CA4" w:rsidRDefault="00021572" w:rsidP="00624E04">
      <w:pPr>
        <w:spacing w:line="276" w:lineRule="auto"/>
        <w:jc w:val="both"/>
      </w:pPr>
      <w:r w:rsidRPr="00EA1CA4">
        <w:t xml:space="preserve">Plani Kombëtar i Veprimit </w:t>
      </w:r>
      <w:r w:rsidR="00DD085C" w:rsidRPr="00EA1CA4">
        <w:t xml:space="preserve">kundër </w:t>
      </w:r>
      <w:r w:rsidRPr="00EA1CA4">
        <w:t>TB</w:t>
      </w:r>
      <w:r w:rsidR="00DD085C" w:rsidRPr="00EA1CA4">
        <w:t>-së</w:t>
      </w:r>
      <w:r w:rsidRPr="00EA1CA4">
        <w:t xml:space="preserve"> është i organizuar rreth 5 objektiva</w:t>
      </w:r>
      <w:r w:rsidR="00DD085C" w:rsidRPr="00EA1CA4">
        <w:t>ve</w:t>
      </w:r>
      <w:r w:rsidRPr="00EA1CA4">
        <w:t xml:space="preserve"> specifike (OS</w:t>
      </w:r>
      <w:r w:rsidR="00AB7EA0" w:rsidRPr="00EA1CA4">
        <w:t>):</w:t>
      </w:r>
    </w:p>
    <w:p w:rsidR="00DD085C" w:rsidRPr="00EA1CA4" w:rsidRDefault="00DD085C" w:rsidP="00624E04">
      <w:pPr>
        <w:spacing w:line="276" w:lineRule="auto"/>
        <w:jc w:val="both"/>
      </w:pPr>
    </w:p>
    <w:p w:rsidR="00AB7EA0" w:rsidRPr="00EA1CA4" w:rsidRDefault="00021572" w:rsidP="00624E04">
      <w:pPr>
        <w:spacing w:line="276" w:lineRule="auto"/>
        <w:jc w:val="both"/>
      </w:pPr>
      <w:r w:rsidRPr="00EA1CA4">
        <w:rPr>
          <w:b/>
          <w:i/>
        </w:rPr>
        <w:t>OS</w:t>
      </w:r>
      <w:r w:rsidR="00AB7EA0" w:rsidRPr="00EA1CA4">
        <w:rPr>
          <w:b/>
          <w:i/>
        </w:rPr>
        <w:t xml:space="preserve"> 1:</w:t>
      </w:r>
      <w:r w:rsidR="00AB7EA0" w:rsidRPr="00EA1CA4">
        <w:tab/>
      </w:r>
      <w:r w:rsidRPr="00EA1CA4">
        <w:t xml:space="preserve">Parandalimi, trajtimi dhe kujdesi i integruar i </w:t>
      </w:r>
      <w:r w:rsidR="000E0676" w:rsidRPr="00EA1CA4">
        <w:t>TB</w:t>
      </w:r>
      <w:r w:rsidRPr="00EA1CA4">
        <w:t xml:space="preserve"> me në qendër pacientin</w:t>
      </w:r>
    </w:p>
    <w:p w:rsidR="00AB7EA0" w:rsidRPr="00EA1CA4" w:rsidRDefault="00021572" w:rsidP="00624E04">
      <w:pPr>
        <w:spacing w:line="276" w:lineRule="auto"/>
        <w:ind w:left="720" w:hanging="720"/>
        <w:jc w:val="both"/>
      </w:pPr>
      <w:r w:rsidRPr="00EA1CA4">
        <w:rPr>
          <w:b/>
          <w:i/>
        </w:rPr>
        <w:t>OS</w:t>
      </w:r>
      <w:r w:rsidR="00AB7EA0" w:rsidRPr="00EA1CA4">
        <w:rPr>
          <w:b/>
          <w:i/>
        </w:rPr>
        <w:t xml:space="preserve"> 2:</w:t>
      </w:r>
      <w:r w:rsidR="00AB7EA0" w:rsidRPr="00EA1CA4">
        <w:tab/>
      </w:r>
      <w:r w:rsidRPr="00EA1CA4">
        <w:t xml:space="preserve">Sigurimi i </w:t>
      </w:r>
      <w:r w:rsidR="000E0676" w:rsidRPr="00EA1CA4">
        <w:t>reagimit t</w:t>
      </w:r>
      <w:r w:rsidRPr="00EA1CA4">
        <w:t>ë qëndruesh</w:t>
      </w:r>
      <w:r w:rsidR="000E0676" w:rsidRPr="00EA1CA4">
        <w:t>ë</w:t>
      </w:r>
      <w:r w:rsidRPr="00EA1CA4">
        <w:t xml:space="preserve">m ndaj TB-së përmes forcimit të koordinimit, </w:t>
      </w:r>
      <w:r w:rsidR="000E0676" w:rsidRPr="00EA1CA4">
        <w:t>lidershipit</w:t>
      </w:r>
      <w:r w:rsidRPr="00EA1CA4">
        <w:t xml:space="preserve"> dhe </w:t>
      </w:r>
      <w:r w:rsidR="000E0676" w:rsidRPr="00EA1CA4">
        <w:t xml:space="preserve">zotimit </w:t>
      </w:r>
      <w:r w:rsidRPr="00EA1CA4">
        <w:t>financiar dhe politik të Qeverisë</w:t>
      </w:r>
      <w:r w:rsidR="00AB7EA0" w:rsidRPr="00EA1CA4">
        <w:t>.</w:t>
      </w:r>
    </w:p>
    <w:p w:rsidR="00AB7EA0" w:rsidRPr="00EA1CA4" w:rsidRDefault="00021572" w:rsidP="00624E04">
      <w:pPr>
        <w:spacing w:line="276" w:lineRule="auto"/>
        <w:ind w:left="720" w:hanging="720"/>
        <w:jc w:val="both"/>
      </w:pPr>
      <w:r w:rsidRPr="00EA1CA4">
        <w:rPr>
          <w:b/>
          <w:i/>
        </w:rPr>
        <w:t>OS</w:t>
      </w:r>
      <w:r w:rsidR="00AB7EA0" w:rsidRPr="00EA1CA4">
        <w:rPr>
          <w:b/>
          <w:i/>
        </w:rPr>
        <w:t xml:space="preserve"> 3:</w:t>
      </w:r>
      <w:r w:rsidR="00AB7EA0" w:rsidRPr="00EA1CA4">
        <w:tab/>
      </w:r>
      <w:r w:rsidRPr="00EA1CA4">
        <w:t>Ndërt</w:t>
      </w:r>
      <w:r w:rsidR="000E0676" w:rsidRPr="00EA1CA4">
        <w:t xml:space="preserve">imi i </w:t>
      </w:r>
      <w:r w:rsidRPr="00EA1CA4">
        <w:t>sisteme</w:t>
      </w:r>
      <w:r w:rsidR="000E0676" w:rsidRPr="00EA1CA4">
        <w:t>ve</w:t>
      </w:r>
      <w:r w:rsidRPr="00EA1CA4">
        <w:t xml:space="preserve"> </w:t>
      </w:r>
      <w:r w:rsidR="000E0676" w:rsidRPr="00EA1CA4">
        <w:t xml:space="preserve">reziliente </w:t>
      </w:r>
      <w:r w:rsidRPr="00EA1CA4">
        <w:t>dhe të qëndrueshme për shëndetin</w:t>
      </w:r>
      <w:r w:rsidR="000E0676" w:rsidRPr="00EA1CA4">
        <w:t>,</w:t>
      </w:r>
      <w:r w:rsidRPr="00EA1CA4">
        <w:t xml:space="preserve"> për të lehtësuar tranzicionin e </w:t>
      </w:r>
      <w:r w:rsidR="000E0676" w:rsidRPr="00EA1CA4">
        <w:t xml:space="preserve">lehtë </w:t>
      </w:r>
      <w:r w:rsidRPr="00EA1CA4">
        <w:t xml:space="preserve">dhe zbatimin efektiv të </w:t>
      </w:r>
      <w:r w:rsidR="000E0676" w:rsidRPr="00EA1CA4">
        <w:t>P</w:t>
      </w:r>
      <w:r w:rsidRPr="00EA1CA4">
        <w:t xml:space="preserve">rogramit </w:t>
      </w:r>
      <w:r w:rsidR="000E0676" w:rsidRPr="00EA1CA4">
        <w:t>K</w:t>
      </w:r>
      <w:r w:rsidRPr="00EA1CA4">
        <w:t xml:space="preserve">ombëtar </w:t>
      </w:r>
      <w:r w:rsidR="000E0676" w:rsidRPr="00EA1CA4">
        <w:t>kundër</w:t>
      </w:r>
      <w:r w:rsidRPr="00EA1CA4">
        <w:t xml:space="preserve"> TB</w:t>
      </w:r>
      <w:r w:rsidR="000E0676" w:rsidRPr="00EA1CA4">
        <w:t>-së</w:t>
      </w:r>
    </w:p>
    <w:p w:rsidR="00AB7EA0" w:rsidRPr="00EA1CA4" w:rsidRDefault="00021572" w:rsidP="00624E04">
      <w:pPr>
        <w:spacing w:line="276" w:lineRule="auto"/>
        <w:jc w:val="both"/>
      </w:pPr>
      <w:r w:rsidRPr="00EA1CA4">
        <w:rPr>
          <w:b/>
          <w:i/>
        </w:rPr>
        <w:t>OS</w:t>
      </w:r>
      <w:r w:rsidR="00AB7EA0" w:rsidRPr="00EA1CA4">
        <w:rPr>
          <w:b/>
          <w:i/>
        </w:rPr>
        <w:t>4:</w:t>
      </w:r>
      <w:r w:rsidR="00AB7EA0" w:rsidRPr="00EA1CA4">
        <w:tab/>
      </w:r>
      <w:r w:rsidRPr="00EA1CA4">
        <w:t>Forcimi dhe avokimi i sistemeve të komunitetit</w:t>
      </w:r>
    </w:p>
    <w:p w:rsidR="00AB7EA0" w:rsidRPr="00EA1CA4" w:rsidRDefault="00021572" w:rsidP="00624E04">
      <w:pPr>
        <w:spacing w:line="276" w:lineRule="auto"/>
        <w:jc w:val="both"/>
      </w:pPr>
      <w:r w:rsidRPr="00EA1CA4">
        <w:rPr>
          <w:b/>
          <w:i/>
        </w:rPr>
        <w:t>OS</w:t>
      </w:r>
      <w:r w:rsidR="00AB7EA0" w:rsidRPr="00EA1CA4">
        <w:rPr>
          <w:b/>
          <w:i/>
        </w:rPr>
        <w:t xml:space="preserve"> 5:</w:t>
      </w:r>
      <w:r w:rsidR="00AB7EA0" w:rsidRPr="00EA1CA4">
        <w:tab/>
      </w:r>
      <w:r w:rsidRPr="00EA1CA4">
        <w:t>Kërkime dhe inovacione të intensifikuara</w:t>
      </w:r>
    </w:p>
    <w:p w:rsidR="000E0676" w:rsidRPr="00EA1CA4" w:rsidRDefault="000E0676" w:rsidP="00624E04">
      <w:pPr>
        <w:spacing w:line="276" w:lineRule="auto"/>
        <w:jc w:val="both"/>
        <w:rPr>
          <w:bCs/>
        </w:rPr>
      </w:pPr>
    </w:p>
    <w:p w:rsidR="000E0676" w:rsidRPr="00EA1CA4" w:rsidRDefault="000E0676" w:rsidP="00624E04">
      <w:pPr>
        <w:spacing w:line="276" w:lineRule="auto"/>
        <w:jc w:val="both"/>
      </w:pPr>
      <w:r w:rsidRPr="00EA1CA4">
        <w:rPr>
          <w:bCs/>
        </w:rPr>
        <w:t>Ndërhyrjet strategjike sipas secilit objektiv specifik janë përshkruar shkurtimisht në dokumentin strategjik. Nën-aktivitetet për të realizuar objektivat specifike janë të detajuara në Planin Kombëtar të Veprimit kundër TB-së, që ofron informacione të detajuara në lidhje me inputet, objektivat, periudhën e zbatimit dhe buxhetin e kërkuar për secilin nën-aktivitet.</w:t>
      </w:r>
    </w:p>
    <w:p w:rsidR="000E0676" w:rsidRPr="00EA1CA4" w:rsidRDefault="000E0676" w:rsidP="00624E04">
      <w:pPr>
        <w:spacing w:line="276" w:lineRule="auto"/>
        <w:jc w:val="both"/>
        <w:rPr>
          <w:bCs/>
        </w:rPr>
      </w:pPr>
    </w:p>
    <w:p w:rsidR="00D43E0E" w:rsidRPr="00EA1CA4" w:rsidRDefault="00D43E0E" w:rsidP="00624E04">
      <w:pPr>
        <w:spacing w:line="276" w:lineRule="auto"/>
        <w:jc w:val="both"/>
        <w:rPr>
          <w:b/>
        </w:rPr>
      </w:pPr>
    </w:p>
    <w:p w:rsidR="00D43E0E" w:rsidRPr="00EA1CA4" w:rsidRDefault="00D43E0E" w:rsidP="00624E04">
      <w:pPr>
        <w:spacing w:line="276" w:lineRule="auto"/>
        <w:jc w:val="both"/>
        <w:rPr>
          <w:b/>
        </w:rPr>
      </w:pPr>
    </w:p>
    <w:p w:rsidR="00021572" w:rsidRPr="00EA1CA4" w:rsidRDefault="00021572" w:rsidP="00624E04">
      <w:pPr>
        <w:spacing w:line="276" w:lineRule="auto"/>
        <w:jc w:val="both"/>
        <w:rPr>
          <w:b/>
        </w:rPr>
      </w:pPr>
      <w:r w:rsidRPr="00EA1CA4">
        <w:rPr>
          <w:b/>
        </w:rPr>
        <w:t>O</w:t>
      </w:r>
      <w:r w:rsidR="00D43E0E" w:rsidRPr="00EA1CA4">
        <w:rPr>
          <w:b/>
        </w:rPr>
        <w:t xml:space="preserve">bjektivi specifik </w:t>
      </w:r>
      <w:r w:rsidRPr="00EA1CA4">
        <w:rPr>
          <w:b/>
        </w:rPr>
        <w:t>1: Parandalimi, trajtimi dhe kujdesi i integruar i TB-së me në qendër pacientin</w:t>
      </w:r>
    </w:p>
    <w:p w:rsidR="000E0676" w:rsidRPr="00EA1CA4" w:rsidRDefault="000E0676" w:rsidP="00624E04">
      <w:pPr>
        <w:spacing w:line="276" w:lineRule="auto"/>
        <w:jc w:val="both"/>
        <w:rPr>
          <w:b/>
        </w:rPr>
      </w:pPr>
    </w:p>
    <w:p w:rsidR="00AB7EA0" w:rsidRPr="00EA1CA4" w:rsidRDefault="00021572" w:rsidP="00624E04">
      <w:pPr>
        <w:spacing w:line="276" w:lineRule="auto"/>
        <w:jc w:val="both"/>
        <w:rPr>
          <w:b/>
        </w:rPr>
      </w:pPr>
      <w:r w:rsidRPr="00EA1CA4">
        <w:rPr>
          <w:b/>
        </w:rPr>
        <w:t>Rezultati 1.1. Ofr</w:t>
      </w:r>
      <w:r w:rsidR="000E0676" w:rsidRPr="00EA1CA4">
        <w:rPr>
          <w:b/>
        </w:rPr>
        <w:t xml:space="preserve">imi i </w:t>
      </w:r>
      <w:r w:rsidRPr="00EA1CA4">
        <w:rPr>
          <w:b/>
        </w:rPr>
        <w:t>shërbime</w:t>
      </w:r>
      <w:r w:rsidR="000E0676" w:rsidRPr="00EA1CA4">
        <w:rPr>
          <w:b/>
        </w:rPr>
        <w:t>ve</w:t>
      </w:r>
      <w:r w:rsidRPr="00EA1CA4">
        <w:rPr>
          <w:b/>
        </w:rPr>
        <w:t xml:space="preserve"> të integruara</w:t>
      </w:r>
      <w:r w:rsidR="000E0676" w:rsidRPr="00EA1CA4">
        <w:rPr>
          <w:b/>
        </w:rPr>
        <w:t>,</w:t>
      </w:r>
      <w:r w:rsidRPr="00EA1CA4">
        <w:rPr>
          <w:b/>
        </w:rPr>
        <w:t xml:space="preserve"> me në qendër pacientin</w:t>
      </w:r>
      <w:r w:rsidR="000E0676" w:rsidRPr="00EA1CA4">
        <w:rPr>
          <w:b/>
        </w:rPr>
        <w:t>,</w:t>
      </w:r>
      <w:r w:rsidRPr="00EA1CA4">
        <w:rPr>
          <w:b/>
        </w:rPr>
        <w:t xml:space="preserve"> për të gjithë pacientët me TB dhe komunitetet e prekura, duke përfshirë pacientët M/XRD-TB</w:t>
      </w:r>
    </w:p>
    <w:p w:rsidR="000E0676" w:rsidRPr="00EA1CA4" w:rsidRDefault="000E0676" w:rsidP="00624E04">
      <w:pPr>
        <w:spacing w:line="276" w:lineRule="auto"/>
        <w:jc w:val="both"/>
      </w:pPr>
    </w:p>
    <w:p w:rsidR="00AB7EA0" w:rsidRPr="00EA1CA4" w:rsidRDefault="00021572" w:rsidP="00624E04">
      <w:pPr>
        <w:spacing w:line="276" w:lineRule="auto"/>
        <w:jc w:val="both"/>
      </w:pPr>
      <w:r w:rsidRPr="00EA1CA4">
        <w:rPr>
          <w:b/>
        </w:rPr>
        <w:t>Sigur</w:t>
      </w:r>
      <w:r w:rsidR="000E0676" w:rsidRPr="00EA1CA4">
        <w:rPr>
          <w:b/>
        </w:rPr>
        <w:t xml:space="preserve">imi i </w:t>
      </w:r>
      <w:r w:rsidRPr="00EA1CA4">
        <w:rPr>
          <w:b/>
        </w:rPr>
        <w:t>qasje</w:t>
      </w:r>
      <w:r w:rsidR="000E0676" w:rsidRPr="00EA1CA4">
        <w:rPr>
          <w:b/>
        </w:rPr>
        <w:t>s</w:t>
      </w:r>
      <w:r w:rsidRPr="00EA1CA4">
        <w:rPr>
          <w:b/>
        </w:rPr>
        <w:t xml:space="preserve"> universale në trajtimin e TB</w:t>
      </w:r>
      <w:r w:rsidR="000E0676" w:rsidRPr="00EA1CA4">
        <w:rPr>
          <w:b/>
        </w:rPr>
        <w:t>-së</w:t>
      </w:r>
      <w:r w:rsidR="00AB7EA0" w:rsidRPr="00EA1CA4">
        <w:rPr>
          <w:b/>
        </w:rPr>
        <w:t>:</w:t>
      </w:r>
      <w:r w:rsidR="000E0676" w:rsidRPr="00EA1CA4">
        <w:rPr>
          <w:b/>
        </w:rPr>
        <w:t xml:space="preserve"> </w:t>
      </w:r>
      <w:r w:rsidRPr="00EA1CA4">
        <w:rPr>
          <w:lang w:eastAsia="zh-CN"/>
        </w:rPr>
        <w:t xml:space="preserve">Sistemi shëndetësor në Kosovë synon të ofrojë qasje të plotë dhe të barabartë në shërbimet thelbësore, duke përfshirë diagnostikimin dhe trajtimin e TB, RD/MRD-TB dhe TB/HIV. Në vitin 2019, rreth 650 pacientë të rritur janë regjistruar për trajtimin e </w:t>
      </w:r>
      <w:r w:rsidR="000E0676" w:rsidRPr="00EA1CA4">
        <w:rPr>
          <w:lang w:eastAsia="zh-CN"/>
        </w:rPr>
        <w:t>TB-së,</w:t>
      </w:r>
      <w:r w:rsidRPr="00EA1CA4">
        <w:rPr>
          <w:lang w:eastAsia="zh-CN"/>
        </w:rPr>
        <w:t xml:space="preserve"> të mbuluar plotësisht nga fondet e qeverisë. Të gjithë pacientët me MRD</w:t>
      </w:r>
      <w:r w:rsidR="000E0676" w:rsidRPr="00EA1CA4">
        <w:rPr>
          <w:lang w:eastAsia="zh-CN"/>
        </w:rPr>
        <w:t>-</w:t>
      </w:r>
      <w:r w:rsidRPr="00EA1CA4">
        <w:rPr>
          <w:lang w:eastAsia="zh-CN"/>
        </w:rPr>
        <w:t xml:space="preserve">TB (megjithëse asnjë rast MRD nuk është regjistruar </w:t>
      </w:r>
      <w:r w:rsidR="000E0676" w:rsidRPr="00EA1CA4">
        <w:rPr>
          <w:lang w:eastAsia="zh-CN"/>
        </w:rPr>
        <w:t>gjat</w:t>
      </w:r>
      <w:r w:rsidRPr="00EA1CA4">
        <w:rPr>
          <w:lang w:eastAsia="zh-CN"/>
        </w:rPr>
        <w:t>ë periudhë</w:t>
      </w:r>
      <w:r w:rsidR="000E0676" w:rsidRPr="00EA1CA4">
        <w:rPr>
          <w:lang w:eastAsia="zh-CN"/>
        </w:rPr>
        <w:t>s</w:t>
      </w:r>
      <w:r w:rsidRPr="00EA1CA4">
        <w:rPr>
          <w:lang w:eastAsia="zh-CN"/>
        </w:rPr>
        <w:t xml:space="preserve"> ndërmjet 2018-2020) do të regjistrohen në trajtimin e TB MRD të ofruar nga qeveria. </w:t>
      </w:r>
      <w:r w:rsidR="000E0676" w:rsidRPr="00EA1CA4">
        <w:rPr>
          <w:lang w:eastAsia="zh-CN"/>
        </w:rPr>
        <w:t>Diagnostikimi</w:t>
      </w:r>
      <w:r w:rsidRPr="00EA1CA4">
        <w:rPr>
          <w:lang w:eastAsia="zh-CN"/>
        </w:rPr>
        <w:t xml:space="preserve"> dhe trajtimi i të gjithë pacientëve do të kryhet sipas udhëzimeve </w:t>
      </w:r>
      <w:r w:rsidRPr="00EA1CA4">
        <w:rPr>
          <w:lang w:eastAsia="zh-CN"/>
        </w:rPr>
        <w:lastRenderedPageBreak/>
        <w:t>dhe protokolleve kombëtare të miratuara</w:t>
      </w:r>
      <w:r w:rsidR="000E0676" w:rsidRPr="00EA1CA4">
        <w:rPr>
          <w:lang w:eastAsia="zh-CN"/>
        </w:rPr>
        <w:t>,</w:t>
      </w:r>
      <w:r w:rsidRPr="00EA1CA4">
        <w:rPr>
          <w:lang w:eastAsia="zh-CN"/>
        </w:rPr>
        <w:t xml:space="preserve"> të cilat janë plotësisht në përputhje me udhëzimet e trajtimit të OBSH</w:t>
      </w:r>
      <w:r w:rsidR="000E0676" w:rsidRPr="00EA1CA4">
        <w:rPr>
          <w:lang w:eastAsia="zh-CN"/>
        </w:rPr>
        <w:t>-së</w:t>
      </w:r>
      <w:r w:rsidR="00AB7EA0" w:rsidRPr="00EA1CA4">
        <w:t xml:space="preserve">. </w:t>
      </w:r>
    </w:p>
    <w:p w:rsidR="00021572" w:rsidRPr="00EA1CA4" w:rsidRDefault="00021572" w:rsidP="00624E04">
      <w:pPr>
        <w:spacing w:line="276" w:lineRule="auto"/>
        <w:jc w:val="both"/>
      </w:pPr>
      <w:r w:rsidRPr="00EA1CA4">
        <w:t xml:space="preserve">Përqindja e rasteve të konfirmuara bakteriologjikisht në mesin e rasteve pulmonare (të reja dhe të </w:t>
      </w:r>
      <w:r w:rsidR="00DB16D6" w:rsidRPr="00EA1CA4">
        <w:t>përsëritura</w:t>
      </w:r>
      <w:r w:rsidRPr="00EA1CA4">
        <w:t>) pritet të rritet për shkak të përmirësimit të infrastrukturës laboratorike dhe zgjerimit të kapacitet</w:t>
      </w:r>
      <w:r w:rsidR="00DB16D6" w:rsidRPr="00EA1CA4">
        <w:t xml:space="preserve">eve </w:t>
      </w:r>
      <w:r w:rsidRPr="00EA1CA4">
        <w:t>të testimit të TB</w:t>
      </w:r>
      <w:r w:rsidR="00DB16D6" w:rsidRPr="00EA1CA4">
        <w:t>-së</w:t>
      </w:r>
      <w:r w:rsidRPr="00EA1CA4">
        <w:t xml:space="preserve"> përmes makinerive më funksionale GeneXpert dhe do të arrihet mbulimi i rritur i TND tek rastet pulmonare të konfirmuara bakteriologjikisht. Janë planifikuar përpjekjet për të forcuar monitorimin dhe menaxhimin e reaksioneve negative të barnave. Përmes aktiviteteve të planifikuara, shkalla e suksesit të trajtimit do të mbahet në 85% për të gjitha format e TB</w:t>
      </w:r>
      <w:r w:rsidR="00DB16D6" w:rsidRPr="00EA1CA4">
        <w:t>-së</w:t>
      </w:r>
      <w:r w:rsidRPr="00EA1CA4">
        <w:t>.</w:t>
      </w:r>
    </w:p>
    <w:p w:rsidR="00AB7EA0" w:rsidRPr="00EA1CA4" w:rsidRDefault="00021572" w:rsidP="00624E04">
      <w:pPr>
        <w:spacing w:line="276" w:lineRule="auto"/>
        <w:jc w:val="both"/>
      </w:pPr>
      <w:r w:rsidRPr="00EA1CA4">
        <w:t xml:space="preserve">Trajtimi </w:t>
      </w:r>
      <w:r w:rsidR="00DB16D6" w:rsidRPr="00EA1CA4">
        <w:t xml:space="preserve">spitalor i </w:t>
      </w:r>
      <w:r w:rsidRPr="00EA1CA4">
        <w:t>pacient</w:t>
      </w:r>
      <w:r w:rsidR="00DB16D6" w:rsidRPr="00EA1CA4">
        <w:t>ëve me</w:t>
      </w:r>
      <w:r w:rsidRPr="00EA1CA4">
        <w:t xml:space="preserve"> TB ofrohet në Klinikën e </w:t>
      </w:r>
      <w:r w:rsidR="00DB16D6" w:rsidRPr="00EA1CA4">
        <w:t>Pomologjisë</w:t>
      </w:r>
      <w:r w:rsidRPr="00EA1CA4">
        <w:t xml:space="preserve"> të Qendrës Klinike Universitare të Kosovës (QKUK), dhe Departamentet për Sëmundjet e Mushkërive dhe TB të spitaleve rajonale. Gjatë shpërthimit të COVID-19 në Kosovë, pacientët me </w:t>
      </w:r>
      <w:r w:rsidR="00DB16D6" w:rsidRPr="00EA1CA4">
        <w:t>TB</w:t>
      </w:r>
      <w:r w:rsidRPr="00EA1CA4">
        <w:t xml:space="preserve"> nga këto klinika janë liruar dhe janë këshilluar që të vazhdojnë trajtimin nga shtëpia përmes shërbimeve ambulatore të </w:t>
      </w:r>
      <w:r w:rsidR="00DB16D6" w:rsidRPr="00EA1CA4">
        <w:t>dispanserive</w:t>
      </w:r>
      <w:r w:rsidRPr="00EA1CA4">
        <w:t xml:space="preserve"> të TB. Kalimi nga kujdesi spitalor në atë ambulator ka vendosur një barrë të papritur pune mbi dispanseritë. Për t'u përshtatur me rregulloret C19, ambulancat e TB pezulluan kontrollet mujore për pacientët me TB dhe filluan monitorimin e pacientëve çdo dy muaj. Pacientëve iu është dhënë furnizimi dy mujor me barna kundër tuberkulozit. Për më tepër, trajtimi i TB-së me video dhe këshillimi telefonik u bënë model shtesë për ofrimin e shërbimeve dhe do të vazhdojë në vitet 2022-2024</w:t>
      </w:r>
      <w:r w:rsidR="00AB7EA0" w:rsidRPr="00EA1CA4">
        <w:t>.</w:t>
      </w:r>
    </w:p>
    <w:p w:rsidR="00AB7EA0" w:rsidRPr="00EA1CA4" w:rsidRDefault="00021572" w:rsidP="00624E04">
      <w:pPr>
        <w:spacing w:line="276" w:lineRule="auto"/>
        <w:jc w:val="both"/>
      </w:pPr>
      <w:r w:rsidRPr="00EA1CA4">
        <w:rPr>
          <w:b/>
        </w:rPr>
        <w:t>Rruajtja e cilësisë së shërbimeve përmes udhëz</w:t>
      </w:r>
      <w:r w:rsidR="00DB16D6" w:rsidRPr="00EA1CA4">
        <w:rPr>
          <w:b/>
        </w:rPr>
        <w:t xml:space="preserve">uesve </w:t>
      </w:r>
      <w:r w:rsidRPr="00EA1CA4">
        <w:rPr>
          <w:b/>
        </w:rPr>
        <w:t xml:space="preserve">të përditësuar të shërbimit: </w:t>
      </w:r>
      <w:r w:rsidRPr="00EA1CA4">
        <w:t xml:space="preserve">Për të siguruar trajtimin cilësor të TB-së, janë bërë përpjekje të konsiderueshme </w:t>
      </w:r>
      <w:r w:rsidR="00DB16D6" w:rsidRPr="00EA1CA4">
        <w:t xml:space="preserve">sipas </w:t>
      </w:r>
      <w:r w:rsidRPr="00EA1CA4">
        <w:t>granti</w:t>
      </w:r>
      <w:r w:rsidR="00DB16D6" w:rsidRPr="00EA1CA4">
        <w:t>t</w:t>
      </w:r>
      <w:r w:rsidRPr="00EA1CA4">
        <w:t xml:space="preserve"> </w:t>
      </w:r>
      <w:r w:rsidR="00DB16D6" w:rsidRPr="00EA1CA4">
        <w:t>të</w:t>
      </w:r>
      <w:r w:rsidRPr="00EA1CA4">
        <w:t xml:space="preserve"> GF</w:t>
      </w:r>
      <w:r w:rsidR="00DB16D6" w:rsidRPr="00EA1CA4">
        <w:t>-së,</w:t>
      </w:r>
      <w:r w:rsidRPr="00EA1CA4">
        <w:t xml:space="preserve"> për të </w:t>
      </w:r>
      <w:r w:rsidR="00DB16D6" w:rsidRPr="00EA1CA4">
        <w:t>korrigjuar</w:t>
      </w:r>
      <w:r w:rsidRPr="00EA1CA4">
        <w:t xml:space="preserve">/zhvilluar dhe për të rishikuar udhëzimet e trajtimit në përputhje me rekomandimet e fundit të OBSH-së. Në 2019-2021, Komiteti Kombëtar </w:t>
      </w:r>
      <w:r w:rsidR="00DB16D6" w:rsidRPr="00EA1CA4">
        <w:t>kundër</w:t>
      </w:r>
      <w:r w:rsidRPr="00EA1CA4">
        <w:t xml:space="preserve"> TB</w:t>
      </w:r>
      <w:r w:rsidR="00DB16D6" w:rsidRPr="00EA1CA4">
        <w:t>-së</w:t>
      </w:r>
      <w:r w:rsidR="00AB7EA0" w:rsidRPr="00EA1CA4">
        <w:rPr>
          <w:rStyle w:val="FootnoteReference"/>
        </w:rPr>
        <w:footnoteReference w:id="32"/>
      </w:r>
      <w:r w:rsidR="00AB7EA0" w:rsidRPr="00EA1CA4">
        <w:t xml:space="preserve"> (</w:t>
      </w:r>
      <w:r w:rsidR="00DB16D6" w:rsidRPr="00EA1CA4">
        <w:t>KK</w:t>
      </w:r>
      <w:r w:rsidR="00AB7EA0" w:rsidRPr="00EA1CA4">
        <w:t xml:space="preserve">TB), </w:t>
      </w:r>
      <w:r w:rsidRPr="00EA1CA4">
        <w:t xml:space="preserve">e cila ka funksion mbikëqyrës dhe konsultativ në kuadër të Programit Kombëtar </w:t>
      </w:r>
      <w:r w:rsidR="00DB16D6" w:rsidRPr="00EA1CA4">
        <w:t>kundër</w:t>
      </w:r>
      <w:r w:rsidRPr="00EA1CA4">
        <w:t xml:space="preserve"> TB</w:t>
      </w:r>
      <w:r w:rsidR="00DB16D6" w:rsidRPr="00EA1CA4">
        <w:t>-së</w:t>
      </w:r>
      <w:r w:rsidRPr="00EA1CA4">
        <w:t xml:space="preserve"> në kuadër të Ministrisë së Shëndetësisë</w:t>
      </w:r>
      <w:r w:rsidR="00DB16D6" w:rsidRPr="00EA1CA4">
        <w:t>,</w:t>
      </w:r>
      <w:r w:rsidRPr="00EA1CA4">
        <w:t xml:space="preserve"> dhe grupet </w:t>
      </w:r>
      <w:r w:rsidR="00DB16D6" w:rsidRPr="00EA1CA4">
        <w:t xml:space="preserve">profesionale </w:t>
      </w:r>
      <w:r w:rsidRPr="00EA1CA4">
        <w:t>pun</w:t>
      </w:r>
      <w:r w:rsidR="00DB16D6" w:rsidRPr="00EA1CA4">
        <w:t xml:space="preserve">uese </w:t>
      </w:r>
      <w:r w:rsidRPr="00EA1CA4">
        <w:t xml:space="preserve">të </w:t>
      </w:r>
      <w:r w:rsidR="00DB16D6" w:rsidRPr="00EA1CA4">
        <w:t xml:space="preserve">themeluara </w:t>
      </w:r>
      <w:r w:rsidRPr="00EA1CA4">
        <w:t xml:space="preserve">nga MSH janë angazhuar në zhvillimin e dokumenteve programatike, si: algoritmi i testimit </w:t>
      </w:r>
      <w:r w:rsidRPr="00EA1CA4">
        <w:lastRenderedPageBreak/>
        <w:t>laboratorik të TB; Udhëz</w:t>
      </w:r>
      <w:r w:rsidR="00DB16D6" w:rsidRPr="00EA1CA4">
        <w:t>uesi</w:t>
      </w:r>
      <w:r w:rsidRPr="00EA1CA4">
        <w:t xml:space="preserve"> për trajtimin e </w:t>
      </w:r>
      <w:r w:rsidR="00DB16D6" w:rsidRPr="00EA1CA4">
        <w:t>TB-së</w:t>
      </w:r>
      <w:r w:rsidRPr="00EA1CA4">
        <w:t xml:space="preserve">; </w:t>
      </w:r>
      <w:r w:rsidR="00DB16D6" w:rsidRPr="00EA1CA4">
        <w:t>U</w:t>
      </w:r>
      <w:r w:rsidRPr="00EA1CA4">
        <w:t>dhëz</w:t>
      </w:r>
      <w:r w:rsidR="00DB16D6" w:rsidRPr="00EA1CA4">
        <w:t xml:space="preserve">uesi </w:t>
      </w:r>
      <w:r w:rsidRPr="00EA1CA4">
        <w:t xml:space="preserve">për menaxhimin programatik të </w:t>
      </w:r>
      <w:r w:rsidR="00DB16D6" w:rsidRPr="00EA1CA4">
        <w:t>TB-së</w:t>
      </w:r>
      <w:r w:rsidRPr="00EA1CA4">
        <w:t xml:space="preserve"> rezistent ndaj barnave dhe </w:t>
      </w:r>
      <w:r w:rsidR="00DB16D6" w:rsidRPr="00EA1CA4">
        <w:t>U</w:t>
      </w:r>
      <w:r w:rsidRPr="00EA1CA4">
        <w:t>dhëz</w:t>
      </w:r>
      <w:r w:rsidR="00DB16D6" w:rsidRPr="00EA1CA4">
        <w:t xml:space="preserve">uesi i </w:t>
      </w:r>
      <w:r w:rsidRPr="00EA1CA4">
        <w:t xml:space="preserve">MDR-TB; </w:t>
      </w:r>
      <w:r w:rsidR="00DB16D6" w:rsidRPr="00EA1CA4">
        <w:t>U</w:t>
      </w:r>
      <w:r w:rsidRPr="00EA1CA4">
        <w:t>dhëz</w:t>
      </w:r>
      <w:r w:rsidR="00DB16D6" w:rsidRPr="00EA1CA4">
        <w:t>uesi pediatrike</w:t>
      </w:r>
      <w:r w:rsidRPr="00EA1CA4">
        <w:t xml:space="preserve"> për </w:t>
      </w:r>
      <w:r w:rsidR="00DB16D6" w:rsidRPr="00EA1CA4">
        <w:t>TB</w:t>
      </w:r>
      <w:r w:rsidRPr="00EA1CA4">
        <w:t xml:space="preserve">; dhe </w:t>
      </w:r>
      <w:r w:rsidR="00DB16D6" w:rsidRPr="00EA1CA4">
        <w:t>U</w:t>
      </w:r>
      <w:r w:rsidRPr="00EA1CA4">
        <w:t>dhëz</w:t>
      </w:r>
      <w:r w:rsidR="00DB16D6" w:rsidRPr="00EA1CA4">
        <w:t xml:space="preserve">uesit </w:t>
      </w:r>
      <w:r w:rsidRPr="00EA1CA4">
        <w:t xml:space="preserve">për TB dhe </w:t>
      </w:r>
      <w:r w:rsidR="002070A5" w:rsidRPr="00EA1CA4">
        <w:t>I</w:t>
      </w:r>
      <w:r w:rsidRPr="00EA1CA4">
        <w:t>LTB ekstra-pulmonare</w:t>
      </w:r>
      <w:r w:rsidR="00AB7EA0" w:rsidRPr="00EA1CA4">
        <w:t xml:space="preserve">. </w:t>
      </w:r>
    </w:p>
    <w:p w:rsidR="000E0676" w:rsidRPr="00EA1CA4" w:rsidRDefault="000E0676" w:rsidP="00624E04">
      <w:pPr>
        <w:spacing w:line="276" w:lineRule="auto"/>
        <w:jc w:val="both"/>
        <w:rPr>
          <w:b/>
          <w:i/>
        </w:rPr>
      </w:pPr>
    </w:p>
    <w:p w:rsidR="00AB7EA0" w:rsidRPr="00EA1CA4" w:rsidRDefault="00021572" w:rsidP="00624E04">
      <w:pPr>
        <w:spacing w:line="276" w:lineRule="auto"/>
        <w:jc w:val="both"/>
        <w:rPr>
          <w:b/>
          <w:i/>
        </w:rPr>
      </w:pPr>
      <w:r w:rsidRPr="00EA1CA4">
        <w:rPr>
          <w:b/>
          <w:i/>
        </w:rPr>
        <w:t>Aktivitetet e planifikuara</w:t>
      </w:r>
      <w:r w:rsidR="00AB7EA0" w:rsidRPr="00EA1CA4">
        <w:rPr>
          <w:b/>
          <w:i/>
        </w:rPr>
        <w:t xml:space="preserve">: </w:t>
      </w:r>
    </w:p>
    <w:p w:rsidR="008136D7" w:rsidRPr="00EA1CA4" w:rsidRDefault="00A340D2">
      <w:pPr>
        <w:pStyle w:val="ListParagraph"/>
        <w:numPr>
          <w:ilvl w:val="2"/>
          <w:numId w:val="30"/>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Sigurimi i furnizimit adekuat dhe të pandërprerë me barna të linjës së parë kundër TB-s</w:t>
      </w:r>
    </w:p>
    <w:p w:rsidR="008136D7" w:rsidRPr="00EA1CA4" w:rsidRDefault="00A340D2">
      <w:pPr>
        <w:pStyle w:val="ListParagraph"/>
        <w:numPr>
          <w:ilvl w:val="2"/>
          <w:numId w:val="30"/>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Sigurimi i furnizimit adekuat dhe të pandërprerë me barna të linjës së dytë (MDR-TB) kundër TB-së</w:t>
      </w:r>
    </w:p>
    <w:p w:rsidR="008136D7" w:rsidRPr="00EA1CA4" w:rsidRDefault="00A340D2">
      <w:pPr>
        <w:pStyle w:val="ListParagraph"/>
        <w:numPr>
          <w:ilvl w:val="2"/>
          <w:numId w:val="30"/>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Menaxhimi dhe monitorimi i trajtimit, dhe efektet anësore të barnave kundër TB-së</w:t>
      </w:r>
    </w:p>
    <w:p w:rsidR="008136D7" w:rsidRPr="00EA1CA4" w:rsidRDefault="00021572">
      <w:pPr>
        <w:pStyle w:val="ListParagraph"/>
        <w:numPr>
          <w:ilvl w:val="2"/>
          <w:numId w:val="30"/>
        </w:numPr>
        <w:spacing w:before="120" w:after="120" w:line="276" w:lineRule="auto"/>
        <w:jc w:val="both"/>
        <w:rPr>
          <w:rFonts w:ascii="Times New Roman" w:hAnsi="Times New Roman"/>
          <w:sz w:val="24"/>
          <w:szCs w:val="24"/>
          <w:lang w:val="it-IT"/>
        </w:rPr>
      </w:pPr>
      <w:r w:rsidRPr="00EA1CA4">
        <w:rPr>
          <w:rFonts w:ascii="Times New Roman" w:hAnsi="Times New Roman"/>
          <w:sz w:val="24"/>
          <w:szCs w:val="24"/>
          <w:lang w:val="sq-AL"/>
        </w:rPr>
        <w:t>Ofroni ekzaminim klinik dhe laboratorik për pacientët MRD-TB</w:t>
      </w:r>
    </w:p>
    <w:p w:rsidR="008136D7" w:rsidRPr="00EA1CA4" w:rsidRDefault="00A340D2">
      <w:pPr>
        <w:pStyle w:val="ListParagraph"/>
        <w:numPr>
          <w:ilvl w:val="2"/>
          <w:numId w:val="30"/>
        </w:numPr>
        <w:spacing w:before="120" w:after="120" w:line="276" w:lineRule="auto"/>
        <w:jc w:val="both"/>
        <w:rPr>
          <w:rFonts w:ascii="Times New Roman" w:hAnsi="Times New Roman"/>
          <w:sz w:val="24"/>
          <w:szCs w:val="24"/>
          <w:lang w:val="it-IT"/>
        </w:rPr>
      </w:pPr>
      <w:r w:rsidRPr="00EA1CA4">
        <w:rPr>
          <w:rFonts w:ascii="Times New Roman" w:hAnsi="Times New Roman"/>
          <w:sz w:val="24"/>
          <w:szCs w:val="24"/>
          <w:lang w:val="sq-AL"/>
        </w:rPr>
        <w:t>Sigurimi i ekzaminimeve klinike, diagnostikimi me rreze X dhe teste të tjera për rastet me TB pulmonare dhe ekstra-pulmonare, duke përfshirë TB-në pediatrike</w:t>
      </w:r>
    </w:p>
    <w:p w:rsidR="00AB7EA0" w:rsidRPr="00EA1CA4" w:rsidRDefault="00504835">
      <w:pPr>
        <w:pStyle w:val="ListParagraph"/>
        <w:numPr>
          <w:ilvl w:val="2"/>
          <w:numId w:val="30"/>
        </w:numPr>
        <w:spacing w:before="120" w:after="120" w:line="276" w:lineRule="auto"/>
        <w:jc w:val="both"/>
        <w:rPr>
          <w:rFonts w:ascii="Times New Roman" w:hAnsi="Times New Roman"/>
          <w:sz w:val="24"/>
          <w:szCs w:val="24"/>
          <w:lang w:val="it-IT"/>
        </w:rPr>
      </w:pPr>
      <w:r w:rsidRPr="00EA1CA4">
        <w:rPr>
          <w:rFonts w:ascii="Times New Roman" w:hAnsi="Times New Roman"/>
          <w:sz w:val="24"/>
          <w:szCs w:val="24"/>
          <w:lang w:val="sq-AL"/>
        </w:rPr>
        <w:t>Rishikimi dhe hartimi, sipas nevojës, i Udhëzimeve Klinike dhe Protokolleve mbi aspektet programatike dhe të menaxhimit të rasteve të TB-së (menaxhimi për TB pulmonare dhe ekstra-pulmonare, menaxhimi klinik i rasteve X/MDR-TB, siguria aktive e barnave kundër TB-së dhe monitorimi (ADSM) i MDR-TB; kontrolli i infektimit, udhëzimet laboratorike të TB-së, protokollet dhe PSO-të, TB dhe sëmundjet shoqëruese, etj</w:t>
      </w:r>
      <w:r w:rsidR="00AB7EA0" w:rsidRPr="00EA1CA4">
        <w:rPr>
          <w:rFonts w:ascii="Times New Roman" w:hAnsi="Times New Roman"/>
          <w:sz w:val="24"/>
          <w:szCs w:val="24"/>
          <w:lang w:val="sq-AL"/>
        </w:rPr>
        <w:t>.</w:t>
      </w:r>
    </w:p>
    <w:p w:rsidR="00AB7EA0" w:rsidRPr="00EA1CA4" w:rsidRDefault="00021572" w:rsidP="00624E04">
      <w:pPr>
        <w:spacing w:line="276" w:lineRule="auto"/>
        <w:jc w:val="both"/>
        <w:rPr>
          <w:b/>
          <w:i/>
        </w:rPr>
      </w:pPr>
      <w:r w:rsidRPr="00EA1CA4">
        <w:rPr>
          <w:b/>
          <w:i/>
        </w:rPr>
        <w:t>Rezultatet e pritura</w:t>
      </w:r>
      <w:r w:rsidR="00AB7EA0" w:rsidRPr="00EA1CA4">
        <w:rPr>
          <w:b/>
          <w:i/>
        </w:rPr>
        <w:t>:</w:t>
      </w:r>
    </w:p>
    <w:p w:rsidR="00AB7EA0" w:rsidRPr="00EA1CA4" w:rsidRDefault="00021572">
      <w:pPr>
        <w:pStyle w:val="ListParagraph"/>
        <w:numPr>
          <w:ilvl w:val="0"/>
          <w:numId w:val="20"/>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Shkalla e suksesit të trajtimit të të gjitha formave të TB - të konfirmuara bakteriologjikisht plus rastet e diagnostikuara klinikisht, të reja dhe të </w:t>
      </w:r>
      <w:r w:rsidR="00CA2476" w:rsidRPr="00EA1CA4">
        <w:rPr>
          <w:rFonts w:ascii="Times New Roman" w:hAnsi="Times New Roman"/>
          <w:sz w:val="24"/>
          <w:szCs w:val="24"/>
          <w:lang w:val="sq-AL"/>
        </w:rPr>
        <w:t xml:space="preserve">përsëritura </w:t>
      </w:r>
      <w:r w:rsidRPr="00EA1CA4">
        <w:rPr>
          <w:rFonts w:ascii="Times New Roman" w:hAnsi="Times New Roman"/>
          <w:sz w:val="24"/>
          <w:szCs w:val="24"/>
          <w:lang w:val="sq-AL"/>
        </w:rPr>
        <w:t xml:space="preserve">rritet nga 84.56% në </w:t>
      </w:r>
      <w:r w:rsidR="00CA2476" w:rsidRPr="00EA1CA4">
        <w:rPr>
          <w:rFonts w:ascii="Times New Roman" w:hAnsi="Times New Roman"/>
          <w:sz w:val="24"/>
          <w:szCs w:val="24"/>
          <w:lang w:val="sq-AL"/>
        </w:rPr>
        <w:t xml:space="preserve">vitin </w:t>
      </w:r>
      <w:r w:rsidRPr="00EA1CA4">
        <w:rPr>
          <w:rFonts w:ascii="Times New Roman" w:hAnsi="Times New Roman"/>
          <w:sz w:val="24"/>
          <w:szCs w:val="24"/>
          <w:lang w:val="sq-AL"/>
        </w:rPr>
        <w:t xml:space="preserve">2019 në 88% deri në fund të </w:t>
      </w:r>
      <w:r w:rsidR="00CA2476" w:rsidRPr="00EA1CA4">
        <w:rPr>
          <w:rFonts w:ascii="Times New Roman" w:hAnsi="Times New Roman"/>
          <w:sz w:val="24"/>
          <w:szCs w:val="24"/>
          <w:lang w:val="sq-AL"/>
        </w:rPr>
        <w:t xml:space="preserve">vitit </w:t>
      </w:r>
      <w:r w:rsidRPr="00EA1CA4">
        <w:rPr>
          <w:rFonts w:ascii="Times New Roman" w:hAnsi="Times New Roman"/>
          <w:sz w:val="24"/>
          <w:szCs w:val="24"/>
          <w:lang w:val="sq-AL"/>
        </w:rPr>
        <w:t>2024</w:t>
      </w:r>
      <w:r w:rsidR="00AB7EA0" w:rsidRPr="00EA1CA4">
        <w:rPr>
          <w:rFonts w:ascii="Times New Roman" w:hAnsi="Times New Roman"/>
          <w:sz w:val="24"/>
          <w:szCs w:val="24"/>
          <w:lang w:val="sq-AL"/>
        </w:rPr>
        <w:t>.</w:t>
      </w:r>
      <w:r w:rsidR="00AB7EA0" w:rsidRPr="00EA1CA4">
        <w:rPr>
          <w:rStyle w:val="FootnoteReference"/>
          <w:rFonts w:ascii="Times New Roman" w:hAnsi="Times New Roman"/>
          <w:sz w:val="24"/>
          <w:szCs w:val="24"/>
          <w:lang w:val="sq-AL"/>
        </w:rPr>
        <w:footnoteReference w:id="33"/>
      </w:r>
    </w:p>
    <w:p w:rsidR="00AB7EA0" w:rsidRPr="00EA1CA4" w:rsidRDefault="00021572">
      <w:pPr>
        <w:pStyle w:val="ListParagraph"/>
        <w:numPr>
          <w:ilvl w:val="0"/>
          <w:numId w:val="20"/>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Të gjithë (100%) pacientët e njoftuar me RR/MDR-TB janë regjistruar në trajtimin e </w:t>
      </w:r>
      <w:r w:rsidR="00CA2476" w:rsidRPr="00EA1CA4">
        <w:rPr>
          <w:rFonts w:ascii="Times New Roman" w:hAnsi="Times New Roman"/>
          <w:sz w:val="24"/>
          <w:szCs w:val="24"/>
          <w:lang w:val="sq-AL"/>
        </w:rPr>
        <w:t>BLD</w:t>
      </w:r>
      <w:r w:rsidR="00AB7EA0" w:rsidRPr="00EA1CA4">
        <w:rPr>
          <w:rStyle w:val="FootnoteReference"/>
          <w:rFonts w:ascii="Times New Roman" w:hAnsi="Times New Roman"/>
          <w:sz w:val="24"/>
          <w:szCs w:val="24"/>
          <w:lang w:val="sq-AL"/>
        </w:rPr>
        <w:footnoteReference w:id="34"/>
      </w:r>
    </w:p>
    <w:p w:rsidR="00AB7EA0" w:rsidRPr="00EA1CA4" w:rsidRDefault="00021572">
      <w:pPr>
        <w:pStyle w:val="ListParagraph"/>
        <w:numPr>
          <w:ilvl w:val="0"/>
          <w:numId w:val="20"/>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lastRenderedPageBreak/>
        <w:t>Shkalla e suksesit të trajtimit (%) midis grupit të trajtimit RR/MDR-TB (nëse është e zbatueshme) është mbi 85%</w:t>
      </w:r>
      <w:r w:rsidR="00AB7EA0" w:rsidRPr="00EA1CA4">
        <w:rPr>
          <w:rStyle w:val="FootnoteReference"/>
          <w:rFonts w:ascii="Times New Roman" w:hAnsi="Times New Roman"/>
          <w:sz w:val="24"/>
          <w:szCs w:val="24"/>
          <w:lang w:val="sq-AL"/>
        </w:rPr>
        <w:footnoteReference w:id="35"/>
      </w:r>
    </w:p>
    <w:p w:rsidR="00AB7EA0" w:rsidRPr="00EA1CA4" w:rsidRDefault="00AB7EA0">
      <w:pPr>
        <w:pStyle w:val="ListParagraph"/>
        <w:numPr>
          <w:ilvl w:val="0"/>
          <w:numId w:val="20"/>
        </w:numPr>
        <w:spacing w:after="0" w:line="276" w:lineRule="auto"/>
        <w:jc w:val="both"/>
        <w:rPr>
          <w:rFonts w:ascii="Times New Roman" w:hAnsi="Times New Roman"/>
          <w:color w:val="000000"/>
          <w:sz w:val="24"/>
          <w:szCs w:val="24"/>
          <w:lang w:val="sq-AL"/>
        </w:rPr>
      </w:pPr>
      <w:r w:rsidRPr="00EA1CA4">
        <w:rPr>
          <w:rFonts w:ascii="Times New Roman" w:hAnsi="Times New Roman"/>
          <w:sz w:val="24"/>
          <w:szCs w:val="24"/>
          <w:lang w:val="sq-AL"/>
        </w:rPr>
        <w:softHyphen/>
      </w:r>
      <w:r w:rsidR="00751A32" w:rsidRPr="00EA1CA4">
        <w:rPr>
          <w:rFonts w:ascii="Times New Roman" w:hAnsi="Times New Roman"/>
          <w:color w:val="000000"/>
          <w:sz w:val="24"/>
          <w:szCs w:val="24"/>
          <w:lang w:val="sq-AL"/>
        </w:rPr>
        <w:t xml:space="preserve">Së </w:t>
      </w:r>
      <w:r w:rsidR="00CA2476" w:rsidRPr="00EA1CA4">
        <w:rPr>
          <w:rFonts w:ascii="Times New Roman" w:hAnsi="Times New Roman"/>
          <w:color w:val="000000"/>
          <w:sz w:val="24"/>
          <w:szCs w:val="24"/>
          <w:lang w:val="sq-AL"/>
        </w:rPr>
        <w:t>paku</w:t>
      </w:r>
      <w:r w:rsidR="00751A32" w:rsidRPr="00EA1CA4">
        <w:rPr>
          <w:rFonts w:ascii="Times New Roman" w:hAnsi="Times New Roman"/>
          <w:color w:val="000000"/>
          <w:sz w:val="24"/>
          <w:szCs w:val="24"/>
          <w:lang w:val="sq-AL"/>
        </w:rPr>
        <w:t xml:space="preserve"> 65% e të gjitha rasteve të reja pulmonare dhe të </w:t>
      </w:r>
      <w:r w:rsidR="00CA2476" w:rsidRPr="00EA1CA4">
        <w:rPr>
          <w:rFonts w:ascii="Times New Roman" w:hAnsi="Times New Roman"/>
          <w:color w:val="000000"/>
          <w:sz w:val="24"/>
          <w:szCs w:val="24"/>
          <w:lang w:val="sq-AL"/>
        </w:rPr>
        <w:t xml:space="preserve">përsëritura </w:t>
      </w:r>
      <w:r w:rsidR="00751A32" w:rsidRPr="00EA1CA4">
        <w:rPr>
          <w:rFonts w:ascii="Times New Roman" w:hAnsi="Times New Roman"/>
          <w:color w:val="000000"/>
          <w:sz w:val="24"/>
          <w:szCs w:val="24"/>
          <w:lang w:val="sq-AL"/>
        </w:rPr>
        <w:t>janë të konfirmuara bakteriologjikisht</w:t>
      </w:r>
    </w:p>
    <w:p w:rsidR="00751A32" w:rsidRPr="00EA1CA4" w:rsidRDefault="00751A32">
      <w:pPr>
        <w:pStyle w:val="ListParagraph"/>
        <w:numPr>
          <w:ilvl w:val="0"/>
          <w:numId w:val="20"/>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Mbulimi i TND (%) në mesin e të gjithë pacientëve me TB </w:t>
      </w:r>
      <w:r w:rsidR="00CA2476" w:rsidRPr="00EA1CA4">
        <w:rPr>
          <w:rFonts w:ascii="Times New Roman" w:hAnsi="Times New Roman"/>
          <w:sz w:val="24"/>
          <w:szCs w:val="24"/>
          <w:lang w:val="sq-AL"/>
        </w:rPr>
        <w:t>pulmonare</w:t>
      </w:r>
      <w:r w:rsidRPr="00EA1CA4">
        <w:rPr>
          <w:rFonts w:ascii="Times New Roman" w:hAnsi="Times New Roman"/>
          <w:sz w:val="24"/>
          <w:szCs w:val="24"/>
          <w:lang w:val="sq-AL"/>
        </w:rPr>
        <w:t xml:space="preserve"> është në rritje</w:t>
      </w:r>
      <w:r w:rsidR="00AB7EA0" w:rsidRPr="00EA1CA4">
        <w:rPr>
          <w:rStyle w:val="FootnoteReference"/>
          <w:rFonts w:ascii="Times New Roman" w:hAnsi="Times New Roman"/>
          <w:sz w:val="24"/>
          <w:szCs w:val="24"/>
          <w:lang w:val="sq-AL"/>
        </w:rPr>
        <w:footnoteReference w:id="36"/>
      </w:r>
      <w:r w:rsidR="00AB7EA0" w:rsidRPr="00EA1CA4">
        <w:rPr>
          <w:rFonts w:ascii="Times New Roman" w:hAnsi="Times New Roman"/>
          <w:sz w:val="24"/>
          <w:szCs w:val="24"/>
          <w:lang w:val="sq-AL"/>
        </w:rPr>
        <w:t xml:space="preserve"> - </w:t>
      </w:r>
      <w:r w:rsidRPr="00EA1CA4">
        <w:rPr>
          <w:rFonts w:ascii="Times New Roman" w:hAnsi="Times New Roman"/>
          <w:sz w:val="24"/>
          <w:szCs w:val="24"/>
          <w:lang w:val="sq-AL"/>
        </w:rPr>
        <w:t>së paku 90% e rasteve të TB pulmonare të konfirmuara bakteriologjikisht testohen për TND</w:t>
      </w:r>
    </w:p>
    <w:p w:rsidR="00AB7EA0" w:rsidRPr="00EA1CA4" w:rsidRDefault="00751A32">
      <w:pPr>
        <w:pStyle w:val="ListParagraph"/>
        <w:numPr>
          <w:ilvl w:val="0"/>
          <w:numId w:val="20"/>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Asnjë nga njësitë raportuese nuk raporton rezerva të BLP ose </w:t>
      </w:r>
      <w:r w:rsidR="00CA2476" w:rsidRPr="00EA1CA4">
        <w:rPr>
          <w:rFonts w:ascii="Times New Roman" w:hAnsi="Times New Roman"/>
          <w:sz w:val="24"/>
          <w:szCs w:val="24"/>
          <w:lang w:val="sq-AL"/>
        </w:rPr>
        <w:t>B</w:t>
      </w:r>
      <w:r w:rsidRPr="00EA1CA4">
        <w:rPr>
          <w:rFonts w:ascii="Times New Roman" w:hAnsi="Times New Roman"/>
          <w:sz w:val="24"/>
          <w:szCs w:val="24"/>
          <w:lang w:val="sq-AL"/>
        </w:rPr>
        <w:t>LD në ditën e fundit të çdo tremujori</w:t>
      </w:r>
      <w:r w:rsidR="00AB7EA0" w:rsidRPr="00EA1CA4">
        <w:rPr>
          <w:rFonts w:ascii="Times New Roman" w:hAnsi="Times New Roman"/>
          <w:sz w:val="24"/>
          <w:szCs w:val="24"/>
          <w:lang w:val="sq-AL"/>
        </w:rPr>
        <w:t xml:space="preserve">. </w:t>
      </w:r>
    </w:p>
    <w:p w:rsidR="00AB7EA0" w:rsidRPr="00EA1CA4" w:rsidRDefault="00751A32" w:rsidP="00624E04">
      <w:pPr>
        <w:spacing w:line="276" w:lineRule="auto"/>
        <w:jc w:val="both"/>
      </w:pPr>
      <w:r w:rsidRPr="00EA1CA4">
        <w:t xml:space="preserve">Përveç strategjive të lartpërmendura, do të bëhen përpjekje thelbësore nga </w:t>
      </w:r>
      <w:r w:rsidR="00CA2476" w:rsidRPr="00EA1CA4">
        <w:t>P</w:t>
      </w:r>
      <w:r w:rsidRPr="00EA1CA4">
        <w:t>rogr</w:t>
      </w:r>
      <w:r w:rsidR="0068141A" w:rsidRPr="00EA1CA4">
        <w:t xml:space="preserve">ami </w:t>
      </w:r>
      <w:r w:rsidR="00CA2476" w:rsidRPr="00EA1CA4">
        <w:t>K</w:t>
      </w:r>
      <w:r w:rsidR="0068141A" w:rsidRPr="00EA1CA4">
        <w:t xml:space="preserve">ombëtar </w:t>
      </w:r>
      <w:r w:rsidR="00CA2476" w:rsidRPr="00EA1CA4">
        <w:t>kundër</w:t>
      </w:r>
      <w:r w:rsidR="0068141A" w:rsidRPr="00EA1CA4">
        <w:t xml:space="preserve"> TB</w:t>
      </w:r>
      <w:r w:rsidR="00CA2476" w:rsidRPr="00EA1CA4">
        <w:t>-së</w:t>
      </w:r>
      <w:r w:rsidR="0068141A" w:rsidRPr="00EA1CA4">
        <w:t xml:space="preserve"> për të larguar</w:t>
      </w:r>
      <w:r w:rsidRPr="00EA1CA4">
        <w:t xml:space="preserve"> </w:t>
      </w:r>
      <w:r w:rsidR="00CA2476" w:rsidRPr="00EA1CA4">
        <w:t xml:space="preserve">pengesat </w:t>
      </w:r>
      <w:r w:rsidRPr="00EA1CA4">
        <w:t>ligjore dhe institucionale për qasje në shërbimet e TB-së, për të përmirësuar qasjen në shërbime nëpërmjet integrimit të menaxhimit të TB-së në kujdesin shëndetësor parësor; dhe për të forcuar kapacitetet institucionale teknike dhe të burimeve njerëzore për të ofruar shërbime cilësore për TB. Një grup gjithëpërfshirës aktivitetesh për të adresuar të gjitha asetet e trajtimit, kujdesit dhe mbështetjes së TB-së</w:t>
      </w:r>
      <w:r w:rsidR="00CA2476" w:rsidRPr="00EA1CA4">
        <w:t>,</w:t>
      </w:r>
      <w:r w:rsidRPr="00EA1CA4">
        <w:t xml:space="preserve"> me në qendër pacientin</w:t>
      </w:r>
      <w:r w:rsidR="00CA2476" w:rsidRPr="00EA1CA4">
        <w:t>,</w:t>
      </w:r>
      <w:r w:rsidRPr="00EA1CA4">
        <w:t xml:space="preserve"> janë adresuar në Planin e Tranzicionit dhe Qëndrueshmërisë 2022-2024</w:t>
      </w:r>
      <w:r w:rsidR="00CA2476" w:rsidRPr="00EA1CA4">
        <w:t>,</w:t>
      </w:r>
      <w:r w:rsidRPr="00EA1CA4">
        <w:t xml:space="preserve"> dhe janë përfshirë në Planin Kombëtar të Veprimit </w:t>
      </w:r>
      <w:r w:rsidR="00CA2476" w:rsidRPr="00EA1CA4">
        <w:t>kundër</w:t>
      </w:r>
      <w:r w:rsidRPr="00EA1CA4">
        <w:t xml:space="preserve"> TB</w:t>
      </w:r>
      <w:r w:rsidR="00CA2476" w:rsidRPr="00EA1CA4">
        <w:t>-së</w:t>
      </w:r>
      <w:r w:rsidRPr="00EA1CA4">
        <w:t xml:space="preserve"> sipas Objektivave Specifike 3- 5 (faqe 11 - 13</w:t>
      </w:r>
      <w:r w:rsidR="00AB7EA0" w:rsidRPr="00EA1CA4">
        <w:t>).</w:t>
      </w:r>
    </w:p>
    <w:p w:rsidR="00AB7EA0" w:rsidRPr="00EA1CA4" w:rsidRDefault="00AB7EA0" w:rsidP="00624E04">
      <w:pPr>
        <w:spacing w:line="276" w:lineRule="auto"/>
        <w:jc w:val="both"/>
      </w:pPr>
    </w:p>
    <w:p w:rsidR="00751A32" w:rsidRPr="00EA1CA4" w:rsidRDefault="00751A32" w:rsidP="00624E04">
      <w:pPr>
        <w:spacing w:line="276" w:lineRule="auto"/>
        <w:jc w:val="both"/>
        <w:rPr>
          <w:b/>
        </w:rPr>
      </w:pPr>
      <w:r w:rsidRPr="00EA1CA4">
        <w:rPr>
          <w:b/>
        </w:rPr>
        <w:t xml:space="preserve">Rezultati 1.2 Forcimi i parandalimit dhe </w:t>
      </w:r>
      <w:r w:rsidR="00CA2476" w:rsidRPr="00EA1CA4">
        <w:rPr>
          <w:b/>
        </w:rPr>
        <w:t>zbulimit t</w:t>
      </w:r>
      <w:r w:rsidRPr="00EA1CA4">
        <w:rPr>
          <w:b/>
        </w:rPr>
        <w:t>ë hershëm të TB</w:t>
      </w:r>
      <w:r w:rsidR="00CA2476" w:rsidRPr="00EA1CA4">
        <w:rPr>
          <w:b/>
        </w:rPr>
        <w:t>-së,</w:t>
      </w:r>
      <w:r w:rsidRPr="00EA1CA4">
        <w:rPr>
          <w:b/>
        </w:rPr>
        <w:t xml:space="preserve"> duke intensifikuar gjetjet aktive të rasteve dhe përm</w:t>
      </w:r>
      <w:r w:rsidR="00CA2476" w:rsidRPr="00EA1CA4">
        <w:rPr>
          <w:b/>
        </w:rPr>
        <w:t>es</w:t>
      </w:r>
      <w:r w:rsidRPr="00EA1CA4">
        <w:rPr>
          <w:b/>
        </w:rPr>
        <w:t xml:space="preserve"> masave adekuate të kontrollit të infek</w:t>
      </w:r>
      <w:r w:rsidR="00CA2476" w:rsidRPr="00EA1CA4">
        <w:rPr>
          <w:b/>
        </w:rPr>
        <w:t>timit.</w:t>
      </w:r>
    </w:p>
    <w:p w:rsidR="00AB7EA0" w:rsidRPr="00EA1CA4" w:rsidRDefault="00AB7EA0" w:rsidP="00624E04">
      <w:pPr>
        <w:spacing w:line="276" w:lineRule="auto"/>
        <w:jc w:val="both"/>
        <w:rPr>
          <w:b/>
        </w:rPr>
      </w:pPr>
    </w:p>
    <w:p w:rsidR="00AB7EA0" w:rsidRPr="00EA1CA4" w:rsidRDefault="00751A32" w:rsidP="00624E04">
      <w:pPr>
        <w:spacing w:line="276" w:lineRule="auto"/>
        <w:jc w:val="both"/>
        <w:rPr>
          <w:bCs/>
          <w:iCs/>
        </w:rPr>
      </w:pPr>
      <w:r w:rsidRPr="00EA1CA4">
        <w:rPr>
          <w:b/>
        </w:rPr>
        <w:t xml:space="preserve">Ekzaminimi </w:t>
      </w:r>
      <w:r w:rsidR="00CA2476" w:rsidRPr="00EA1CA4">
        <w:rPr>
          <w:b/>
        </w:rPr>
        <w:t>për</w:t>
      </w:r>
      <w:r w:rsidRPr="00EA1CA4">
        <w:rPr>
          <w:b/>
        </w:rPr>
        <w:t xml:space="preserve"> TB </w:t>
      </w:r>
      <w:r w:rsidR="00CA2476" w:rsidRPr="00EA1CA4">
        <w:rPr>
          <w:b/>
        </w:rPr>
        <w:t>i</w:t>
      </w:r>
      <w:r w:rsidRPr="00EA1CA4">
        <w:rPr>
          <w:b/>
        </w:rPr>
        <w:t xml:space="preserve"> anëtarëve të </w:t>
      </w:r>
      <w:r w:rsidR="00CA2476" w:rsidRPr="00EA1CA4">
        <w:rPr>
          <w:b/>
        </w:rPr>
        <w:t xml:space="preserve">ekonomive </w:t>
      </w:r>
      <w:r w:rsidRPr="00EA1CA4">
        <w:rPr>
          <w:b/>
        </w:rPr>
        <w:t>familj</w:t>
      </w:r>
      <w:r w:rsidR="00CA2476" w:rsidRPr="00EA1CA4">
        <w:rPr>
          <w:b/>
        </w:rPr>
        <w:t>are</w:t>
      </w:r>
      <w:r w:rsidRPr="00EA1CA4">
        <w:rPr>
          <w:b/>
        </w:rPr>
        <w:t xml:space="preserve"> dhe kontaktet e ngushta të pacientëve me TB aktive: </w:t>
      </w:r>
      <w:r w:rsidRPr="00EA1CA4">
        <w:t>Është shumë e rëndësishme të arrihet një qasje universale në diagnostikimin e hershëm të saktë të TB-së, duke rritur efikasitetin e gjetjes së rasteve dhe identifikimin e rasteve të supozuara me TB në pikën e parë të kujdesit</w:t>
      </w:r>
      <w:r w:rsidR="00CA2476" w:rsidRPr="00EA1CA4">
        <w:t>,</w:t>
      </w:r>
      <w:r w:rsidRPr="00EA1CA4">
        <w:t xml:space="preserve"> për të lidhur ato me mjetet më të mira diagnostike në dispozicion. Sipas </w:t>
      </w:r>
      <w:r w:rsidRPr="00EA1CA4">
        <w:lastRenderedPageBreak/>
        <w:t>standardeve ndërkombëtare për kujdesin ndaj TB-së</w:t>
      </w:r>
      <w:r w:rsidR="00AB7EA0" w:rsidRPr="00EA1CA4">
        <w:t>,</w:t>
      </w:r>
      <w:r w:rsidR="00AB7EA0" w:rsidRPr="00EA1CA4">
        <w:rPr>
          <w:rStyle w:val="FootnoteReference"/>
        </w:rPr>
        <w:footnoteReference w:id="37"/>
      </w:r>
      <w:r w:rsidR="00CA2476" w:rsidRPr="00EA1CA4">
        <w:t xml:space="preserve"> </w:t>
      </w:r>
      <w:r w:rsidRPr="00EA1CA4">
        <w:t xml:space="preserve">të gjithë personat në kontakt të ngushtë me pacientët me TB do të </w:t>
      </w:r>
      <w:r w:rsidR="00CA2476" w:rsidRPr="00EA1CA4">
        <w:t xml:space="preserve">kontrollohen </w:t>
      </w:r>
      <w:r w:rsidRPr="00EA1CA4">
        <w:t xml:space="preserve">dhe testohen për TB. Kontaktet do të përfshijnë </w:t>
      </w:r>
      <w:r w:rsidR="00CA2476" w:rsidRPr="00EA1CA4">
        <w:t>si</w:t>
      </w:r>
      <w:r w:rsidRPr="00EA1CA4">
        <w:t xml:space="preserve"> grupet </w:t>
      </w:r>
      <w:r w:rsidR="00CA2476" w:rsidRPr="00EA1CA4">
        <w:t xml:space="preserve">e ekonomive familjare ashtu edhe të ekonomive </w:t>
      </w:r>
      <w:r w:rsidRPr="00EA1CA4">
        <w:t>jo</w:t>
      </w:r>
      <w:r w:rsidR="00CA2476" w:rsidRPr="00EA1CA4">
        <w:t xml:space="preserve"> </w:t>
      </w:r>
      <w:r w:rsidRPr="00EA1CA4">
        <w:t>familjare. Hetimi i kontakt</w:t>
      </w:r>
      <w:r w:rsidR="00CA2476" w:rsidRPr="00EA1CA4">
        <w:t xml:space="preserve">eve </w:t>
      </w:r>
      <w:r w:rsidRPr="00EA1CA4">
        <w:t>është një aktivitet i rëndësishëm për gjetjen e personave me TB të pazbuluar më parë dhe personat që OBSH janë kandidatë për trajtimin e infeksionit latent të TB (</w:t>
      </w:r>
      <w:r w:rsidR="002070A5" w:rsidRPr="00EA1CA4">
        <w:t>I</w:t>
      </w:r>
      <w:r w:rsidRPr="00EA1CA4">
        <w:t xml:space="preserve">LTB). Aktualisht, vetëm gjysma e kontakteve të pacientëve me </w:t>
      </w:r>
      <w:r w:rsidR="00CA2476" w:rsidRPr="00EA1CA4">
        <w:t>TB</w:t>
      </w:r>
      <w:r w:rsidRPr="00EA1CA4">
        <w:t xml:space="preserve"> janë </w:t>
      </w:r>
      <w:r w:rsidR="00CA2476" w:rsidRPr="00EA1CA4">
        <w:t xml:space="preserve">kontrolluar </w:t>
      </w:r>
      <w:r w:rsidRPr="00EA1CA4">
        <w:t>për TB, me prioritet të caktuar të kontakteve të rasteve të konfirmuara me TB</w:t>
      </w:r>
      <w:r w:rsidR="00AB7EA0" w:rsidRPr="00EA1CA4">
        <w:t xml:space="preserve">. </w:t>
      </w:r>
    </w:p>
    <w:p w:rsidR="00AB7EA0" w:rsidRPr="00EA1CA4" w:rsidRDefault="00953629" w:rsidP="00624E04">
      <w:pPr>
        <w:spacing w:line="276" w:lineRule="auto"/>
        <w:jc w:val="both"/>
      </w:pPr>
      <w:r w:rsidRPr="00EA1CA4">
        <w:rPr>
          <w:b/>
          <w:bCs/>
        </w:rPr>
        <w:t>F</w:t>
      </w:r>
      <w:r w:rsidR="00751A32" w:rsidRPr="00EA1CA4">
        <w:rPr>
          <w:b/>
          <w:bCs/>
        </w:rPr>
        <w:t>orc</w:t>
      </w:r>
      <w:r w:rsidRPr="00EA1CA4">
        <w:rPr>
          <w:b/>
          <w:bCs/>
        </w:rPr>
        <w:t xml:space="preserve">imi i </w:t>
      </w:r>
      <w:r w:rsidR="00751A32" w:rsidRPr="00EA1CA4">
        <w:rPr>
          <w:b/>
          <w:bCs/>
        </w:rPr>
        <w:t>hetimi</w:t>
      </w:r>
      <w:r w:rsidRPr="00EA1CA4">
        <w:rPr>
          <w:b/>
          <w:bCs/>
        </w:rPr>
        <w:t>t</w:t>
      </w:r>
      <w:r w:rsidR="00751A32" w:rsidRPr="00EA1CA4">
        <w:rPr>
          <w:b/>
          <w:bCs/>
        </w:rPr>
        <w:t xml:space="preserve"> </w:t>
      </w:r>
      <w:r w:rsidRPr="00EA1CA4">
        <w:rPr>
          <w:b/>
          <w:bCs/>
        </w:rPr>
        <w:t>të</w:t>
      </w:r>
      <w:r w:rsidR="00751A32" w:rsidRPr="00EA1CA4">
        <w:rPr>
          <w:b/>
          <w:bCs/>
        </w:rPr>
        <w:t xml:space="preserve"> kontaktit, </w:t>
      </w:r>
      <w:r w:rsidRPr="00EA1CA4">
        <w:rPr>
          <w:b/>
          <w:bCs/>
        </w:rPr>
        <w:t xml:space="preserve">ekzaminimi </w:t>
      </w:r>
      <w:r w:rsidR="00751A32" w:rsidRPr="00EA1CA4">
        <w:rPr>
          <w:b/>
          <w:bCs/>
        </w:rPr>
        <w:t xml:space="preserve">dhe gjetja aktive e rasteve për TB </w:t>
      </w:r>
      <w:r w:rsidRPr="00EA1CA4">
        <w:rPr>
          <w:b/>
          <w:bCs/>
        </w:rPr>
        <w:t xml:space="preserve">në mesin e </w:t>
      </w:r>
      <w:r w:rsidR="00751A32" w:rsidRPr="00EA1CA4">
        <w:rPr>
          <w:b/>
          <w:bCs/>
        </w:rPr>
        <w:t>pop</w:t>
      </w:r>
      <w:r w:rsidR="0068141A" w:rsidRPr="00EA1CA4">
        <w:rPr>
          <w:b/>
          <w:bCs/>
        </w:rPr>
        <w:t>ull</w:t>
      </w:r>
      <w:r w:rsidRPr="00EA1CA4">
        <w:rPr>
          <w:b/>
          <w:bCs/>
        </w:rPr>
        <w:t xml:space="preserve">atave të </w:t>
      </w:r>
      <w:r w:rsidR="0068141A" w:rsidRPr="00EA1CA4">
        <w:rPr>
          <w:b/>
          <w:bCs/>
        </w:rPr>
        <w:t>cenu</w:t>
      </w:r>
      <w:r w:rsidRPr="00EA1CA4">
        <w:rPr>
          <w:b/>
          <w:bCs/>
        </w:rPr>
        <w:t>eshme</w:t>
      </w:r>
      <w:r w:rsidR="00AB7EA0" w:rsidRPr="00EA1CA4">
        <w:rPr>
          <w:b/>
          <w:bCs/>
        </w:rPr>
        <w:t xml:space="preserve">: </w:t>
      </w:r>
      <w:r w:rsidR="00751A32" w:rsidRPr="00EA1CA4">
        <w:rPr>
          <w:color w:val="000000"/>
        </w:rPr>
        <w:t xml:space="preserve">Ekzaminimi sistematik për TB tek grupet e rrezikut përmirëson zbulimin e hershëm të rasteve. Objektivi kryesor i </w:t>
      </w:r>
      <w:r w:rsidRPr="00EA1CA4">
        <w:rPr>
          <w:color w:val="000000"/>
        </w:rPr>
        <w:t xml:space="preserve">ekzaminimit </w:t>
      </w:r>
      <w:r w:rsidR="00751A32" w:rsidRPr="00EA1CA4">
        <w:rPr>
          <w:color w:val="000000"/>
        </w:rPr>
        <w:t xml:space="preserve">është </w:t>
      </w:r>
      <w:r w:rsidRPr="00EA1CA4">
        <w:rPr>
          <w:color w:val="000000"/>
        </w:rPr>
        <w:t xml:space="preserve">për </w:t>
      </w:r>
      <w:r w:rsidR="00751A32" w:rsidRPr="00EA1CA4">
        <w:rPr>
          <w:color w:val="000000"/>
        </w:rPr>
        <w:t>të sigur</w:t>
      </w:r>
      <w:r w:rsidRPr="00EA1CA4">
        <w:rPr>
          <w:color w:val="000000"/>
        </w:rPr>
        <w:t xml:space="preserve">uar </w:t>
      </w:r>
      <w:r w:rsidR="00751A32" w:rsidRPr="00EA1CA4">
        <w:rPr>
          <w:color w:val="000000"/>
        </w:rPr>
        <w:t>zbulimin e hershëm të TB-së aktive dhe fillimin e menjëhershëm të trajtimit</w:t>
      </w:r>
      <w:r w:rsidRPr="00EA1CA4">
        <w:rPr>
          <w:color w:val="000000"/>
        </w:rPr>
        <w:t>,</w:t>
      </w:r>
      <w:r w:rsidR="00751A32" w:rsidRPr="00EA1CA4">
        <w:rPr>
          <w:color w:val="000000"/>
        </w:rPr>
        <w:t xml:space="preserve"> me qëllimin përfundimtar</w:t>
      </w:r>
      <w:r w:rsidRPr="00EA1CA4">
        <w:rPr>
          <w:color w:val="000000"/>
        </w:rPr>
        <w:t>,</w:t>
      </w:r>
      <w:r w:rsidR="00751A32" w:rsidRPr="00EA1CA4">
        <w:rPr>
          <w:color w:val="000000"/>
        </w:rPr>
        <w:t xml:space="preserve"> përmirësimi</w:t>
      </w:r>
      <w:r w:rsidRPr="00EA1CA4">
        <w:rPr>
          <w:color w:val="000000"/>
        </w:rPr>
        <w:t>n</w:t>
      </w:r>
      <w:r w:rsidR="00751A32" w:rsidRPr="00EA1CA4">
        <w:rPr>
          <w:color w:val="000000"/>
        </w:rPr>
        <w:t xml:space="preserve"> </w:t>
      </w:r>
      <w:r w:rsidRPr="00EA1CA4">
        <w:rPr>
          <w:color w:val="000000"/>
        </w:rPr>
        <w:t>e</w:t>
      </w:r>
      <w:r w:rsidR="00751A32" w:rsidRPr="00EA1CA4">
        <w:rPr>
          <w:color w:val="000000"/>
        </w:rPr>
        <w:t xml:space="preserve"> rezultatit të trajtimit dhe reduktimit të pasojave negative sociale dhe ekonomike të TB-së, si dhe parandalimin e transmetimit të TB-së. Diagnoza për të gjitha rastet e supozuara me TB do të konfirmohet nga </w:t>
      </w:r>
      <w:r w:rsidR="000D1ABE" w:rsidRPr="00EA1CA4">
        <w:rPr>
          <w:color w:val="000000"/>
        </w:rPr>
        <w:t xml:space="preserve">ekzaminimi </w:t>
      </w:r>
      <w:r w:rsidR="00751A32" w:rsidRPr="00EA1CA4">
        <w:rPr>
          <w:color w:val="000000"/>
        </w:rPr>
        <w:t>i TB</w:t>
      </w:r>
      <w:r w:rsidR="000D1ABE" w:rsidRPr="00EA1CA4">
        <w:rPr>
          <w:color w:val="000000"/>
        </w:rPr>
        <w:t>-së</w:t>
      </w:r>
      <w:r w:rsidR="00751A32" w:rsidRPr="00EA1CA4">
        <w:rPr>
          <w:color w:val="000000"/>
        </w:rPr>
        <w:t>, testet bakteriologjike dhe vlerësimet klinike. Lista e grupeve me rrezik</w:t>
      </w:r>
      <w:r w:rsidR="000D1ABE" w:rsidRPr="00EA1CA4">
        <w:rPr>
          <w:color w:val="000000"/>
        </w:rPr>
        <w:t>shmëri</w:t>
      </w:r>
      <w:r w:rsidR="00751A32" w:rsidRPr="00EA1CA4">
        <w:rPr>
          <w:color w:val="000000"/>
        </w:rPr>
        <w:t xml:space="preserve"> të lartë të TB do të përfshijë ekzaminimin e komunitetit në komunat me </w:t>
      </w:r>
      <w:r w:rsidR="000D1ABE" w:rsidRPr="00EA1CA4">
        <w:rPr>
          <w:color w:val="000000"/>
        </w:rPr>
        <w:t>barrë</w:t>
      </w:r>
      <w:r w:rsidR="00751A32" w:rsidRPr="00EA1CA4">
        <w:rPr>
          <w:color w:val="000000"/>
        </w:rPr>
        <w:t xml:space="preserve"> të lartë, personat me </w:t>
      </w:r>
      <w:r w:rsidR="000D1ABE" w:rsidRPr="00EA1CA4">
        <w:rPr>
          <w:color w:val="000000"/>
        </w:rPr>
        <w:t xml:space="preserve">gjendje </w:t>
      </w:r>
      <w:r w:rsidR="00751A32" w:rsidRPr="00EA1CA4">
        <w:rPr>
          <w:color w:val="000000"/>
        </w:rPr>
        <w:t xml:space="preserve">të veçanta </w:t>
      </w:r>
      <w:r w:rsidR="000D1ABE" w:rsidRPr="00EA1CA4">
        <w:rPr>
          <w:color w:val="000000"/>
        </w:rPr>
        <w:t xml:space="preserve">shëndetësore, </w:t>
      </w:r>
      <w:r w:rsidR="00751A32" w:rsidRPr="00EA1CA4">
        <w:rPr>
          <w:color w:val="000000"/>
        </w:rPr>
        <w:t>që përbëjnë faktorë rreziku për TB (pacientët NJJHIV, HBV dhe HCV), fëmijët e keq</w:t>
      </w:r>
      <w:r w:rsidR="000D1ABE" w:rsidRPr="00EA1CA4">
        <w:rPr>
          <w:color w:val="000000"/>
        </w:rPr>
        <w:t>-</w:t>
      </w:r>
      <w:r w:rsidR="00751A32" w:rsidRPr="00EA1CA4">
        <w:rPr>
          <w:color w:val="000000"/>
        </w:rPr>
        <w:t xml:space="preserve">ushqyer, personat në </w:t>
      </w:r>
      <w:r w:rsidR="000D1ABE" w:rsidRPr="00EA1CA4">
        <w:rPr>
          <w:color w:val="000000"/>
        </w:rPr>
        <w:t xml:space="preserve">qendra </w:t>
      </w:r>
      <w:r w:rsidR="00751A32" w:rsidRPr="00EA1CA4">
        <w:rPr>
          <w:color w:val="000000"/>
        </w:rPr>
        <w:t>korr</w:t>
      </w:r>
      <w:r w:rsidR="000D1ABE" w:rsidRPr="00EA1CA4">
        <w:rPr>
          <w:color w:val="000000"/>
        </w:rPr>
        <w:t>ektuese</w:t>
      </w:r>
      <w:r w:rsidR="00751A32" w:rsidRPr="00EA1CA4">
        <w:rPr>
          <w:color w:val="000000"/>
        </w:rPr>
        <w:t xml:space="preserve">, </w:t>
      </w:r>
      <w:r w:rsidR="000D1ABE" w:rsidRPr="00EA1CA4">
        <w:rPr>
          <w:color w:val="000000"/>
        </w:rPr>
        <w:t>emigrantët</w:t>
      </w:r>
      <w:r w:rsidR="00751A32" w:rsidRPr="00EA1CA4">
        <w:rPr>
          <w:color w:val="000000"/>
        </w:rPr>
        <w:t xml:space="preserve">, njerëzit që </w:t>
      </w:r>
      <w:r w:rsidR="000D1ABE" w:rsidRPr="00EA1CA4">
        <w:rPr>
          <w:color w:val="000000"/>
        </w:rPr>
        <w:t>kanë</w:t>
      </w:r>
      <w:r w:rsidR="00751A32" w:rsidRPr="00EA1CA4">
        <w:rPr>
          <w:color w:val="000000"/>
        </w:rPr>
        <w:t xml:space="preserve"> qasj</w:t>
      </w:r>
      <w:r w:rsidR="000D1ABE" w:rsidRPr="00EA1CA4">
        <w:rPr>
          <w:color w:val="000000"/>
        </w:rPr>
        <w:t>e</w:t>
      </w:r>
      <w:r w:rsidR="00751A32" w:rsidRPr="00EA1CA4">
        <w:rPr>
          <w:color w:val="000000"/>
        </w:rPr>
        <w:t xml:space="preserve"> </w:t>
      </w:r>
      <w:r w:rsidR="000D1ABE" w:rsidRPr="00EA1CA4">
        <w:rPr>
          <w:color w:val="000000"/>
        </w:rPr>
        <w:t>të</w:t>
      </w:r>
      <w:r w:rsidR="00751A32" w:rsidRPr="00EA1CA4">
        <w:rPr>
          <w:color w:val="000000"/>
        </w:rPr>
        <w:t xml:space="preserve"> kufizuar në shërbimet e kujdesit shëndetësor, punëtorët kujdesit shëndetësor, etj. Theks i </w:t>
      </w:r>
      <w:r w:rsidR="000D1ABE" w:rsidRPr="00EA1CA4">
        <w:rPr>
          <w:color w:val="000000"/>
        </w:rPr>
        <w:t>veçantë</w:t>
      </w:r>
      <w:r w:rsidR="00751A32" w:rsidRPr="00EA1CA4">
        <w:rPr>
          <w:color w:val="000000"/>
        </w:rPr>
        <w:t xml:space="preserve"> do t'i kushtohet pakicave </w:t>
      </w:r>
      <w:r w:rsidR="000D1ABE" w:rsidRPr="00EA1CA4">
        <w:rPr>
          <w:color w:val="000000"/>
        </w:rPr>
        <w:t>R</w:t>
      </w:r>
      <w:r w:rsidR="00751A32" w:rsidRPr="00EA1CA4">
        <w:rPr>
          <w:color w:val="000000"/>
        </w:rPr>
        <w:t xml:space="preserve">ome, </w:t>
      </w:r>
      <w:r w:rsidR="000D1ABE" w:rsidRPr="00EA1CA4">
        <w:rPr>
          <w:color w:val="000000"/>
        </w:rPr>
        <w:t>A</w:t>
      </w:r>
      <w:r w:rsidR="00751A32" w:rsidRPr="00EA1CA4">
        <w:rPr>
          <w:color w:val="000000"/>
        </w:rPr>
        <w:t xml:space="preserve">shkali dhe </w:t>
      </w:r>
      <w:r w:rsidR="000D1ABE" w:rsidRPr="00EA1CA4">
        <w:rPr>
          <w:color w:val="000000"/>
        </w:rPr>
        <w:t>E</w:t>
      </w:r>
      <w:r w:rsidR="00751A32" w:rsidRPr="00EA1CA4">
        <w:rPr>
          <w:color w:val="000000"/>
        </w:rPr>
        <w:t>gjiptiane (RAE) që janë të shpërndara në mbarë Kosovën dhe janë të cenuara në aspektin socio-ekonomik</w:t>
      </w:r>
      <w:r w:rsidR="00AB7EA0" w:rsidRPr="00EA1CA4">
        <w:t>.</w:t>
      </w:r>
    </w:p>
    <w:p w:rsidR="00AB7EA0" w:rsidRPr="00EA1CA4" w:rsidRDefault="00751A32" w:rsidP="00624E04">
      <w:pPr>
        <w:spacing w:line="276" w:lineRule="auto"/>
        <w:jc w:val="both"/>
      </w:pPr>
      <w:r w:rsidRPr="00EA1CA4">
        <w:rPr>
          <w:color w:val="000000"/>
        </w:rPr>
        <w:t>D</w:t>
      </w:r>
      <w:r w:rsidR="000D1ABE" w:rsidRPr="00EA1CA4">
        <w:rPr>
          <w:color w:val="000000"/>
        </w:rPr>
        <w:t xml:space="preserve">o </w:t>
      </w:r>
      <w:r w:rsidRPr="00EA1CA4">
        <w:rPr>
          <w:color w:val="000000"/>
        </w:rPr>
        <w:t xml:space="preserve">të sigurohet angazhim më i madh i organizatave të shoqërisë civile në gjetjet aktive të rasteve. </w:t>
      </w:r>
      <w:r w:rsidR="000D1ABE" w:rsidRPr="00EA1CA4">
        <w:rPr>
          <w:color w:val="000000"/>
        </w:rPr>
        <w:t>Do të zhvillohen dhe miratohen s</w:t>
      </w:r>
      <w:r w:rsidRPr="00EA1CA4">
        <w:rPr>
          <w:color w:val="000000"/>
        </w:rPr>
        <w:t>tandardet dhe procedurat operacionale për cilësinë e shërbimeve të ofruara përmes O</w:t>
      </w:r>
      <w:r w:rsidR="000D1ABE" w:rsidRPr="00EA1CA4">
        <w:rPr>
          <w:color w:val="000000"/>
        </w:rPr>
        <w:t>SHC</w:t>
      </w:r>
      <w:r w:rsidRPr="00EA1CA4">
        <w:rPr>
          <w:color w:val="000000"/>
        </w:rPr>
        <w:t xml:space="preserve">-ve (të adresuara </w:t>
      </w:r>
      <w:r w:rsidR="000D1ABE" w:rsidRPr="00EA1CA4">
        <w:rPr>
          <w:color w:val="000000"/>
        </w:rPr>
        <w:t xml:space="preserve">sipas </w:t>
      </w:r>
      <w:r w:rsidRPr="00EA1CA4">
        <w:rPr>
          <w:color w:val="000000"/>
        </w:rPr>
        <w:t>OS</w:t>
      </w:r>
      <w:r w:rsidR="000D1ABE" w:rsidRPr="00EA1CA4">
        <w:rPr>
          <w:color w:val="000000"/>
        </w:rPr>
        <w:t>-</w:t>
      </w:r>
      <w:r w:rsidRPr="00EA1CA4">
        <w:rPr>
          <w:color w:val="000000"/>
        </w:rPr>
        <w:t>4; faqe 13</w:t>
      </w:r>
      <w:r w:rsidR="00AB7EA0" w:rsidRPr="00EA1CA4">
        <w:rPr>
          <w:color w:val="000000"/>
        </w:rPr>
        <w:t>).</w:t>
      </w:r>
    </w:p>
    <w:p w:rsidR="00AB7EA0" w:rsidRPr="00EA1CA4" w:rsidRDefault="00751A32" w:rsidP="00624E04">
      <w:pPr>
        <w:pStyle w:val="Default"/>
        <w:spacing w:line="276" w:lineRule="auto"/>
        <w:jc w:val="both"/>
        <w:rPr>
          <w:rFonts w:ascii="Times New Roman" w:hAnsi="Times New Roman" w:cs="Times New Roman"/>
          <w:lang w:val="sq-AL"/>
        </w:rPr>
      </w:pPr>
      <w:r w:rsidRPr="00EA1CA4">
        <w:rPr>
          <w:rFonts w:ascii="Times New Roman" w:hAnsi="Times New Roman" w:cs="Times New Roman"/>
          <w:b/>
          <w:i/>
          <w:lang w:val="sq-AL"/>
        </w:rPr>
        <w:t>Sigur</w:t>
      </w:r>
      <w:r w:rsidR="000D1ABE" w:rsidRPr="00EA1CA4">
        <w:rPr>
          <w:rFonts w:ascii="Times New Roman" w:hAnsi="Times New Roman" w:cs="Times New Roman"/>
          <w:b/>
          <w:i/>
          <w:lang w:val="sq-AL"/>
        </w:rPr>
        <w:t xml:space="preserve">imi i </w:t>
      </w:r>
      <w:r w:rsidRPr="00EA1CA4">
        <w:rPr>
          <w:rFonts w:ascii="Times New Roman" w:hAnsi="Times New Roman" w:cs="Times New Roman"/>
          <w:b/>
          <w:i/>
          <w:lang w:val="sq-AL"/>
        </w:rPr>
        <w:t>vaksinimi</w:t>
      </w:r>
      <w:r w:rsidR="000D1ABE" w:rsidRPr="00EA1CA4">
        <w:rPr>
          <w:rFonts w:ascii="Times New Roman" w:hAnsi="Times New Roman" w:cs="Times New Roman"/>
          <w:b/>
          <w:i/>
          <w:lang w:val="sq-AL"/>
        </w:rPr>
        <w:t>t</w:t>
      </w:r>
      <w:r w:rsidRPr="00EA1CA4">
        <w:rPr>
          <w:rFonts w:ascii="Times New Roman" w:hAnsi="Times New Roman" w:cs="Times New Roman"/>
          <w:b/>
          <w:i/>
          <w:lang w:val="sq-AL"/>
        </w:rPr>
        <w:t xml:space="preserve"> universal </w:t>
      </w:r>
      <w:r w:rsidR="000D1ABE" w:rsidRPr="00EA1CA4">
        <w:rPr>
          <w:rFonts w:ascii="Times New Roman" w:hAnsi="Times New Roman" w:cs="Times New Roman"/>
          <w:b/>
          <w:i/>
          <w:lang w:val="sq-AL"/>
        </w:rPr>
        <w:t xml:space="preserve">për </w:t>
      </w:r>
      <w:r w:rsidRPr="00EA1CA4">
        <w:rPr>
          <w:rFonts w:ascii="Times New Roman" w:hAnsi="Times New Roman" w:cs="Times New Roman"/>
          <w:b/>
          <w:i/>
          <w:lang w:val="sq-AL"/>
        </w:rPr>
        <w:t xml:space="preserve">BCG: </w:t>
      </w:r>
      <w:r w:rsidRPr="00EA1CA4">
        <w:rPr>
          <w:rFonts w:ascii="Times New Roman" w:hAnsi="Times New Roman" w:cs="Times New Roman"/>
          <w:lang w:val="sq-AL"/>
        </w:rPr>
        <w:t xml:space="preserve">Vaksinimi </w:t>
      </w:r>
      <w:r w:rsidR="00EB733C" w:rsidRPr="00EA1CA4">
        <w:rPr>
          <w:rFonts w:ascii="Times New Roman" w:hAnsi="Times New Roman" w:cs="Times New Roman"/>
          <w:lang w:val="sq-AL"/>
        </w:rPr>
        <w:t>kundër</w:t>
      </w:r>
      <w:r w:rsidRPr="00EA1CA4">
        <w:rPr>
          <w:rFonts w:ascii="Times New Roman" w:hAnsi="Times New Roman" w:cs="Times New Roman"/>
          <w:lang w:val="sq-AL"/>
        </w:rPr>
        <w:t xml:space="preserve"> Bacillus Calmette-Guérin (BCG) është rekomanduar për të parandaluar përhapjen e sëmundjes së TB-së, veçanërisht tek </w:t>
      </w:r>
      <w:r w:rsidRPr="00EA1CA4">
        <w:rPr>
          <w:rFonts w:ascii="Times New Roman" w:hAnsi="Times New Roman" w:cs="Times New Roman"/>
          <w:lang w:val="sq-AL"/>
        </w:rPr>
        <w:lastRenderedPageBreak/>
        <w:t xml:space="preserve">foshnjat dhe fëmijët e vegjël. Vaksinimi kundër TB-së në Kosovë është financuar nga qeveria dhe është bërë në mënyrë rutinore. Anketa e AGTSH </w:t>
      </w:r>
      <w:r w:rsidR="00EB733C" w:rsidRPr="00EA1CA4">
        <w:rPr>
          <w:rFonts w:ascii="Times New Roman" w:hAnsi="Times New Roman" w:cs="Times New Roman"/>
          <w:lang w:val="sq-AL"/>
        </w:rPr>
        <w:t>e</w:t>
      </w:r>
      <w:r w:rsidRPr="00EA1CA4">
        <w:rPr>
          <w:rFonts w:ascii="Times New Roman" w:hAnsi="Times New Roman" w:cs="Times New Roman"/>
          <w:lang w:val="sq-AL"/>
        </w:rPr>
        <w:t xml:space="preserve"> vite</w:t>
      </w:r>
      <w:r w:rsidR="00EB733C" w:rsidRPr="00EA1CA4">
        <w:rPr>
          <w:rFonts w:ascii="Times New Roman" w:hAnsi="Times New Roman" w:cs="Times New Roman"/>
          <w:lang w:val="sq-AL"/>
        </w:rPr>
        <w:t>ve</w:t>
      </w:r>
      <w:r w:rsidRPr="00EA1CA4">
        <w:rPr>
          <w:rFonts w:ascii="Times New Roman" w:hAnsi="Times New Roman" w:cs="Times New Roman"/>
          <w:lang w:val="sq-AL"/>
        </w:rPr>
        <w:t xml:space="preserve"> 2019-2020 përcakton se 99.3% e fëmijëve të moshës 12-23 muaj</w:t>
      </w:r>
      <w:r w:rsidR="00EB733C" w:rsidRPr="00EA1CA4">
        <w:rPr>
          <w:rFonts w:ascii="Times New Roman" w:hAnsi="Times New Roman" w:cs="Times New Roman"/>
          <w:lang w:val="sq-AL"/>
        </w:rPr>
        <w:t>sh</w:t>
      </w:r>
      <w:r w:rsidRPr="00EA1CA4">
        <w:rPr>
          <w:rFonts w:ascii="Times New Roman" w:hAnsi="Times New Roman" w:cs="Times New Roman"/>
          <w:lang w:val="sq-AL"/>
        </w:rPr>
        <w:t xml:space="preserve"> kanë </w:t>
      </w:r>
      <w:r w:rsidR="00EB733C" w:rsidRPr="00EA1CA4">
        <w:rPr>
          <w:rFonts w:ascii="Times New Roman" w:hAnsi="Times New Roman" w:cs="Times New Roman"/>
          <w:lang w:val="sq-AL"/>
        </w:rPr>
        <w:t xml:space="preserve">marr </w:t>
      </w:r>
      <w:r w:rsidRPr="00EA1CA4">
        <w:rPr>
          <w:rFonts w:ascii="Times New Roman" w:hAnsi="Times New Roman" w:cs="Times New Roman"/>
          <w:lang w:val="sq-AL"/>
        </w:rPr>
        <w:t>vaksinën</w:t>
      </w:r>
      <w:r w:rsidR="00EB733C" w:rsidRPr="00EA1CA4">
        <w:rPr>
          <w:rFonts w:ascii="Times New Roman" w:hAnsi="Times New Roman" w:cs="Times New Roman"/>
          <w:lang w:val="sq-AL"/>
        </w:rPr>
        <w:t xml:space="preserve"> kundër</w:t>
      </w:r>
      <w:r w:rsidRPr="00EA1CA4">
        <w:rPr>
          <w:rFonts w:ascii="Times New Roman" w:hAnsi="Times New Roman" w:cs="Times New Roman"/>
          <w:lang w:val="sq-AL"/>
        </w:rPr>
        <w:t xml:space="preserve"> BCG</w:t>
      </w:r>
      <w:r w:rsidR="00AB7EA0" w:rsidRPr="00EA1CA4">
        <w:rPr>
          <w:rFonts w:ascii="Times New Roman" w:hAnsi="Times New Roman" w:cs="Times New Roman"/>
          <w:lang w:val="sq-AL"/>
        </w:rPr>
        <w:t>.</w:t>
      </w:r>
      <w:r w:rsidR="00AB7EA0" w:rsidRPr="00EA1CA4">
        <w:rPr>
          <w:rStyle w:val="FootnoteReference"/>
          <w:rFonts w:ascii="Times New Roman" w:hAnsi="Times New Roman"/>
          <w:lang w:val="sq-AL"/>
        </w:rPr>
        <w:footnoteReference w:id="38"/>
      </w:r>
      <w:r w:rsidR="00EB733C" w:rsidRPr="00EA1CA4">
        <w:rPr>
          <w:rFonts w:ascii="Times New Roman" w:hAnsi="Times New Roman" w:cs="Times New Roman"/>
          <w:lang w:val="sq-AL"/>
        </w:rPr>
        <w:t xml:space="preserve"> </w:t>
      </w:r>
      <w:r w:rsidR="001A0AF2" w:rsidRPr="00EA1CA4">
        <w:rPr>
          <w:rFonts w:ascii="Times New Roman" w:hAnsi="Times New Roman" w:cs="Times New Roman"/>
          <w:lang w:val="sq-AL"/>
        </w:rPr>
        <w:t>Qeveria e Kosovës do të vazhdojë t'i përmbahet rekomandimit të OBSH për vaksinimin</w:t>
      </w:r>
      <w:r w:rsidR="00EB733C" w:rsidRPr="00EA1CA4">
        <w:rPr>
          <w:rFonts w:ascii="Times New Roman" w:hAnsi="Times New Roman" w:cs="Times New Roman"/>
          <w:lang w:val="sq-AL"/>
        </w:rPr>
        <w:t>,</w:t>
      </w:r>
      <w:r w:rsidR="001A0AF2" w:rsidRPr="00EA1CA4">
        <w:rPr>
          <w:rFonts w:ascii="Times New Roman" w:hAnsi="Times New Roman" w:cs="Times New Roman"/>
          <w:lang w:val="sq-AL"/>
        </w:rPr>
        <w:t xml:space="preserve"> dhe një dozë e vetme e vaksinës </w:t>
      </w:r>
      <w:r w:rsidR="00EB733C" w:rsidRPr="00EA1CA4">
        <w:rPr>
          <w:rFonts w:ascii="Times New Roman" w:hAnsi="Times New Roman" w:cs="Times New Roman"/>
          <w:lang w:val="sq-AL"/>
        </w:rPr>
        <w:t xml:space="preserve">kundër </w:t>
      </w:r>
      <w:r w:rsidR="001A0AF2" w:rsidRPr="00EA1CA4">
        <w:rPr>
          <w:rFonts w:ascii="Times New Roman" w:hAnsi="Times New Roman" w:cs="Times New Roman"/>
          <w:lang w:val="sq-AL"/>
        </w:rPr>
        <w:t>BCG</w:t>
      </w:r>
      <w:r w:rsidR="00EB733C" w:rsidRPr="00EA1CA4">
        <w:rPr>
          <w:rFonts w:ascii="Times New Roman" w:hAnsi="Times New Roman" w:cs="Times New Roman"/>
          <w:lang w:val="sq-AL"/>
        </w:rPr>
        <w:t>-së</w:t>
      </w:r>
      <w:r w:rsidR="001A0AF2" w:rsidRPr="00EA1CA4">
        <w:rPr>
          <w:rFonts w:ascii="Times New Roman" w:hAnsi="Times New Roman" w:cs="Times New Roman"/>
          <w:lang w:val="sq-AL"/>
        </w:rPr>
        <w:t xml:space="preserve"> do t'u jepet të gjith</w:t>
      </w:r>
      <w:r w:rsidR="00EB733C" w:rsidRPr="00EA1CA4">
        <w:rPr>
          <w:rFonts w:ascii="Times New Roman" w:hAnsi="Times New Roman" w:cs="Times New Roman"/>
          <w:lang w:val="sq-AL"/>
        </w:rPr>
        <w:t>a</w:t>
      </w:r>
      <w:r w:rsidR="001A0AF2" w:rsidRPr="00EA1CA4">
        <w:rPr>
          <w:rFonts w:ascii="Times New Roman" w:hAnsi="Times New Roman" w:cs="Times New Roman"/>
          <w:lang w:val="sq-AL"/>
        </w:rPr>
        <w:t xml:space="preserve"> foshnjave pas lindjes</w:t>
      </w:r>
      <w:r w:rsidR="00AB7EA0" w:rsidRPr="00EA1CA4">
        <w:rPr>
          <w:rFonts w:ascii="Times New Roman" w:hAnsi="Times New Roman" w:cs="Times New Roman"/>
          <w:lang w:val="sq-AL"/>
        </w:rPr>
        <w:t xml:space="preserve">. </w:t>
      </w:r>
    </w:p>
    <w:p w:rsidR="00AB7EA0" w:rsidRPr="00EA1CA4" w:rsidRDefault="001A0AF2" w:rsidP="00624E04">
      <w:pPr>
        <w:spacing w:line="276" w:lineRule="auto"/>
        <w:jc w:val="both"/>
      </w:pPr>
      <w:r w:rsidRPr="00EA1CA4">
        <w:rPr>
          <w:b/>
          <w:i/>
        </w:rPr>
        <w:t>Sigur</w:t>
      </w:r>
      <w:r w:rsidR="00EB733C" w:rsidRPr="00EA1CA4">
        <w:rPr>
          <w:b/>
          <w:i/>
        </w:rPr>
        <w:t xml:space="preserve">imi i </w:t>
      </w:r>
      <w:r w:rsidRPr="00EA1CA4">
        <w:rPr>
          <w:b/>
          <w:i/>
        </w:rPr>
        <w:t>ekzaminimi</w:t>
      </w:r>
      <w:r w:rsidR="00EB733C" w:rsidRPr="00EA1CA4">
        <w:rPr>
          <w:b/>
          <w:i/>
        </w:rPr>
        <w:t>t</w:t>
      </w:r>
      <w:r w:rsidRPr="00EA1CA4">
        <w:rPr>
          <w:b/>
          <w:i/>
        </w:rPr>
        <w:t xml:space="preserve"> për </w:t>
      </w:r>
      <w:r w:rsidR="0068141A" w:rsidRPr="00EA1CA4">
        <w:rPr>
          <w:b/>
          <w:i/>
        </w:rPr>
        <w:t>I</w:t>
      </w:r>
      <w:r w:rsidRPr="00EA1CA4">
        <w:rPr>
          <w:b/>
          <w:i/>
        </w:rPr>
        <w:t>LTB dhe sigur</w:t>
      </w:r>
      <w:r w:rsidR="00EB733C" w:rsidRPr="00EA1CA4">
        <w:rPr>
          <w:b/>
          <w:i/>
        </w:rPr>
        <w:t xml:space="preserve">imi i </w:t>
      </w:r>
      <w:r w:rsidRPr="00EA1CA4">
        <w:rPr>
          <w:b/>
          <w:i/>
        </w:rPr>
        <w:t>trajtim</w:t>
      </w:r>
      <w:r w:rsidR="00EB733C" w:rsidRPr="00EA1CA4">
        <w:rPr>
          <w:b/>
          <w:i/>
        </w:rPr>
        <w:t>it</w:t>
      </w:r>
      <w:r w:rsidRPr="00EA1CA4">
        <w:rPr>
          <w:b/>
          <w:i/>
        </w:rPr>
        <w:t xml:space="preserve"> parandalues për TB për të gjithë pacientët me </w:t>
      </w:r>
      <w:r w:rsidR="0068141A" w:rsidRPr="00EA1CA4">
        <w:rPr>
          <w:b/>
          <w:i/>
        </w:rPr>
        <w:t>ILTB</w:t>
      </w:r>
      <w:r w:rsidR="00AB7EA0" w:rsidRPr="00EA1CA4">
        <w:rPr>
          <w:b/>
          <w:i/>
        </w:rPr>
        <w:t xml:space="preserve">: </w:t>
      </w:r>
      <w:r w:rsidRPr="00EA1CA4">
        <w:t>Ekspozimi ndaj Mycobacterium tuberculosis mund të rezultojë në infeksion latent të TB-së</w:t>
      </w:r>
      <w:r w:rsidR="00EB733C" w:rsidRPr="00EA1CA4">
        <w:t>,</w:t>
      </w:r>
      <w:r w:rsidRPr="00EA1CA4">
        <w:t xml:space="preserve"> dhe një person me infeksion latent të TB-së zakonisht bën një jetë të shëndetshme, por një pjesë mund të zhvillojë sëmundje aktive të TB-së. Sipas Udhëzimit për menaxhimin e </w:t>
      </w:r>
      <w:r w:rsidR="0068141A" w:rsidRPr="00EA1CA4">
        <w:t>ILTB</w:t>
      </w:r>
      <w:r w:rsidRPr="00EA1CA4">
        <w:t xml:space="preserve">-së, testi i lëkurës </w:t>
      </w:r>
      <w:r w:rsidR="00EB733C" w:rsidRPr="00EA1CA4">
        <w:t>p</w:t>
      </w:r>
      <w:r w:rsidRPr="00EA1CA4">
        <w:t>ë</w:t>
      </w:r>
      <w:r w:rsidR="00EB733C" w:rsidRPr="00EA1CA4">
        <w:t>r</w:t>
      </w:r>
      <w:r w:rsidRPr="00EA1CA4">
        <w:t xml:space="preserve"> tuberkulinë (testi Mantoux) do të përdoret për të detektuar infeksionin latent të TB. Të gjithë pacientët e diagnostikuar me </w:t>
      </w:r>
      <w:r w:rsidR="0068141A" w:rsidRPr="00EA1CA4">
        <w:t>ILTB</w:t>
      </w:r>
      <w:r w:rsidRPr="00EA1CA4">
        <w:t xml:space="preserve"> do të regjistrohen në trajtimin parandalues të TB</w:t>
      </w:r>
      <w:r w:rsidR="00EB733C" w:rsidRPr="00EA1CA4">
        <w:t>-së</w:t>
      </w:r>
      <w:r w:rsidRPr="00EA1CA4">
        <w:t xml:space="preserve">. Do të zhvillohen dhe zbatohen formularët e regjistrimit dhe raportimit për monitorimin e rezultateve të trajtimit të </w:t>
      </w:r>
      <w:r w:rsidR="0068141A" w:rsidRPr="00EA1CA4">
        <w:t>ILTB</w:t>
      </w:r>
      <w:r w:rsidRPr="00EA1CA4">
        <w:t xml:space="preserve">. Stafi i </w:t>
      </w:r>
      <w:r w:rsidR="00981C51" w:rsidRPr="00EA1CA4">
        <w:t>KSHP</w:t>
      </w:r>
      <w:r w:rsidRPr="00EA1CA4">
        <w:t xml:space="preserve">-së do të trajnohet për hetimin e kontaktit dhe trajtimin e </w:t>
      </w:r>
      <w:r w:rsidR="0068141A" w:rsidRPr="00EA1CA4">
        <w:t>ILTB</w:t>
      </w:r>
      <w:r w:rsidRPr="00EA1CA4">
        <w:t xml:space="preserve">. </w:t>
      </w:r>
      <w:r w:rsidR="00EB733C" w:rsidRPr="00EA1CA4">
        <w:t xml:space="preserve">Do të rishikohen </w:t>
      </w:r>
      <w:r w:rsidRPr="00EA1CA4">
        <w:t xml:space="preserve">TeR-të e punonjësve shëndetësorë të përfshirë në Programin </w:t>
      </w:r>
      <w:r w:rsidR="00EB733C" w:rsidRPr="00EA1CA4">
        <w:t xml:space="preserve">kundër </w:t>
      </w:r>
      <w:r w:rsidRPr="00EA1CA4">
        <w:t>TB</w:t>
      </w:r>
      <w:r w:rsidR="00EB733C" w:rsidRPr="00EA1CA4">
        <w:t>-së</w:t>
      </w:r>
      <w:r w:rsidRPr="00EA1CA4">
        <w:t xml:space="preserve"> për të përfshirë përgjegjësi të reja </w:t>
      </w:r>
      <w:r w:rsidR="00EB733C" w:rsidRPr="00EA1CA4">
        <w:t>t</w:t>
      </w:r>
      <w:r w:rsidRPr="00EA1CA4">
        <w:t>ë trajtimi</w:t>
      </w:r>
      <w:r w:rsidR="00EB733C" w:rsidRPr="00EA1CA4">
        <w:t>t</w:t>
      </w:r>
      <w:r w:rsidRPr="00EA1CA4">
        <w:t xml:space="preserve"> dhe diagnostikimi</w:t>
      </w:r>
      <w:r w:rsidR="00EB733C" w:rsidRPr="00EA1CA4">
        <w:t>t</w:t>
      </w:r>
      <w:r w:rsidRPr="00EA1CA4">
        <w:t xml:space="preserve"> </w:t>
      </w:r>
      <w:r w:rsidR="00EB733C" w:rsidRPr="00EA1CA4">
        <w:t>të</w:t>
      </w:r>
      <w:r w:rsidRPr="00EA1CA4">
        <w:t xml:space="preserve"> </w:t>
      </w:r>
      <w:r w:rsidR="0068141A" w:rsidRPr="00EA1CA4">
        <w:t>ILTB,</w:t>
      </w:r>
      <w:r w:rsidRPr="00EA1CA4">
        <w:t xml:space="preserve"> siç janë ofrimi i trajtimit të </w:t>
      </w:r>
      <w:r w:rsidR="0068141A" w:rsidRPr="00EA1CA4">
        <w:t>ILTB</w:t>
      </w:r>
      <w:r w:rsidRPr="00EA1CA4">
        <w:t xml:space="preserve"> në baza mujore, monitorimi i trajtimit të efekteve anësore të tij, sigurimi i strategjive më të mira për mbajtjen e rasteve, dhe regjistrimi dhe raportimi i rezultateve të trajtimit për </w:t>
      </w:r>
      <w:r w:rsidR="0068141A" w:rsidRPr="00EA1CA4">
        <w:t>ILTB</w:t>
      </w:r>
      <w:r w:rsidR="00AB7EA0" w:rsidRPr="00EA1CA4">
        <w:t>.</w:t>
      </w:r>
    </w:p>
    <w:p w:rsidR="001A0AF2" w:rsidRPr="00EA1CA4" w:rsidRDefault="001A0AF2" w:rsidP="00624E04">
      <w:pPr>
        <w:spacing w:line="276" w:lineRule="auto"/>
        <w:jc w:val="both"/>
        <w:rPr>
          <w:b/>
          <w:i/>
        </w:rPr>
      </w:pPr>
      <w:r w:rsidRPr="00EA1CA4">
        <w:rPr>
          <w:b/>
          <w:i/>
        </w:rPr>
        <w:t>Përmirës</w:t>
      </w:r>
      <w:r w:rsidR="00EB733C" w:rsidRPr="00EA1CA4">
        <w:rPr>
          <w:b/>
          <w:i/>
        </w:rPr>
        <w:t>imi i</w:t>
      </w:r>
      <w:r w:rsidRPr="00EA1CA4">
        <w:rPr>
          <w:b/>
          <w:i/>
        </w:rPr>
        <w:t xml:space="preserve"> parandalimi</w:t>
      </w:r>
      <w:r w:rsidR="00EB733C" w:rsidRPr="00EA1CA4">
        <w:rPr>
          <w:b/>
          <w:i/>
        </w:rPr>
        <w:t>t</w:t>
      </w:r>
      <w:r w:rsidRPr="00EA1CA4">
        <w:rPr>
          <w:b/>
          <w:i/>
        </w:rPr>
        <w:t>, diagnostikimi</w:t>
      </w:r>
      <w:r w:rsidR="00EB733C" w:rsidRPr="00EA1CA4">
        <w:rPr>
          <w:b/>
          <w:i/>
        </w:rPr>
        <w:t>t</w:t>
      </w:r>
      <w:r w:rsidRPr="00EA1CA4">
        <w:rPr>
          <w:b/>
          <w:i/>
        </w:rPr>
        <w:t xml:space="preserve"> dhe trajtimi</w:t>
      </w:r>
      <w:r w:rsidR="00EB733C" w:rsidRPr="00EA1CA4">
        <w:rPr>
          <w:b/>
          <w:i/>
        </w:rPr>
        <w:t>t</w:t>
      </w:r>
      <w:r w:rsidRPr="00EA1CA4">
        <w:rPr>
          <w:b/>
          <w:i/>
        </w:rPr>
        <w:t xml:space="preserve"> </w:t>
      </w:r>
      <w:r w:rsidR="00EB733C" w:rsidRPr="00EA1CA4">
        <w:rPr>
          <w:b/>
          <w:i/>
        </w:rPr>
        <w:t>të</w:t>
      </w:r>
      <w:r w:rsidRPr="00EA1CA4">
        <w:rPr>
          <w:b/>
          <w:i/>
        </w:rPr>
        <w:t xml:space="preserve"> TB-së tek fëmijët: </w:t>
      </w:r>
      <w:r w:rsidRPr="00EA1CA4">
        <w:t xml:space="preserve">Në vitin 2019, në Kosovë janë regjistruar vetëm 5 raste të TB-së në fëmijëri, që përbën vetëm 0.8% të të gjitha rasteve të </w:t>
      </w:r>
      <w:r w:rsidR="00EB733C" w:rsidRPr="00EA1CA4">
        <w:t>të njoftuara të TB-së</w:t>
      </w:r>
      <w:r w:rsidRPr="00EA1CA4">
        <w:t xml:space="preserve">. Palët e interesuara besojnë se numri i ulët i rasteve të TB-së të </w:t>
      </w:r>
      <w:r w:rsidR="00EB733C" w:rsidRPr="00EA1CA4">
        <w:t xml:space="preserve">zbuluara </w:t>
      </w:r>
      <w:r w:rsidRPr="00EA1CA4">
        <w:t>tek fëmijët mund të jetë për shkak të sfidave që lidhen me mjetet diagnostikuese për TB-në e fëmijërisë</w:t>
      </w:r>
      <w:r w:rsidR="00EB733C" w:rsidRPr="00EA1CA4">
        <w:t>,</w:t>
      </w:r>
      <w:r w:rsidRPr="00EA1CA4">
        <w:t xml:space="preserve"> si dhe nën-raportimi</w:t>
      </w:r>
      <w:r w:rsidR="00EB733C" w:rsidRPr="00EA1CA4">
        <w:t>n</w:t>
      </w:r>
      <w:r w:rsidRPr="00EA1CA4">
        <w:t xml:space="preserve">. Rastet e </w:t>
      </w:r>
      <w:r w:rsidR="00EB733C" w:rsidRPr="00EA1CA4">
        <w:t>TB-së</w:t>
      </w:r>
      <w:r w:rsidRPr="00EA1CA4">
        <w:t xml:space="preserve"> pediatrik</w:t>
      </w:r>
      <w:r w:rsidR="00EB733C" w:rsidRPr="00EA1CA4">
        <w:t>e</w:t>
      </w:r>
      <w:r w:rsidRPr="00EA1CA4">
        <w:t xml:space="preserve"> menaxhohen nga Departamenti i Sëmundjeve të Mushkërive të Klinikës së Pediatrisë</w:t>
      </w:r>
      <w:r w:rsidR="00EB733C" w:rsidRPr="00EA1CA4">
        <w:t>,</w:t>
      </w:r>
      <w:r w:rsidRPr="00EA1CA4">
        <w:t xml:space="preserve"> në koordinim me institucionet e tjera të PKTB-së. Bashkëpunimi </w:t>
      </w:r>
      <w:r w:rsidR="00EB733C" w:rsidRPr="00EA1CA4">
        <w:t xml:space="preserve">midis </w:t>
      </w:r>
      <w:r w:rsidRPr="00EA1CA4">
        <w:t xml:space="preserve">Klinikës Pediatrike me ATD-të rajonale </w:t>
      </w:r>
      <w:r w:rsidRPr="00EA1CA4">
        <w:lastRenderedPageBreak/>
        <w:t>nuk është i kënaqshëm, gjë që mund të çojë në nën-raportim dhe vështirësi në mbajtjen e rasteve</w:t>
      </w:r>
      <w:r w:rsidRPr="00EA1CA4">
        <w:rPr>
          <w:b/>
          <w:i/>
        </w:rPr>
        <w:t>.</w:t>
      </w:r>
    </w:p>
    <w:p w:rsidR="00AB7EA0" w:rsidRPr="00EA1CA4" w:rsidRDefault="001A0AF2" w:rsidP="00624E04">
      <w:pPr>
        <w:spacing w:line="276" w:lineRule="auto"/>
        <w:jc w:val="both"/>
      </w:pPr>
      <w:r w:rsidRPr="00EA1CA4">
        <w:rPr>
          <w:b/>
          <w:i/>
        </w:rPr>
        <w:t>Përmirës</w:t>
      </w:r>
      <w:r w:rsidR="00EB733C" w:rsidRPr="00EA1CA4">
        <w:rPr>
          <w:b/>
          <w:i/>
        </w:rPr>
        <w:t xml:space="preserve">imi i </w:t>
      </w:r>
      <w:r w:rsidRPr="00EA1CA4">
        <w:rPr>
          <w:b/>
          <w:i/>
        </w:rPr>
        <w:t>menaxhimi</w:t>
      </w:r>
      <w:r w:rsidR="00EB733C" w:rsidRPr="00EA1CA4">
        <w:rPr>
          <w:b/>
          <w:i/>
        </w:rPr>
        <w:t>t</w:t>
      </w:r>
      <w:r w:rsidRPr="00EA1CA4">
        <w:rPr>
          <w:b/>
          <w:i/>
        </w:rPr>
        <w:t xml:space="preserve"> dhe koordinimi</w:t>
      </w:r>
      <w:r w:rsidR="00EB733C" w:rsidRPr="00EA1CA4">
        <w:rPr>
          <w:b/>
          <w:i/>
        </w:rPr>
        <w:t>t</w:t>
      </w:r>
      <w:r w:rsidRPr="00EA1CA4">
        <w:rPr>
          <w:b/>
          <w:i/>
        </w:rPr>
        <w:t xml:space="preserve"> </w:t>
      </w:r>
      <w:r w:rsidR="00EB733C" w:rsidRPr="00EA1CA4">
        <w:rPr>
          <w:b/>
          <w:i/>
        </w:rPr>
        <w:t>të</w:t>
      </w:r>
      <w:r w:rsidRPr="00EA1CA4">
        <w:rPr>
          <w:b/>
          <w:i/>
        </w:rPr>
        <w:t xml:space="preserve"> rasteve të TB në </w:t>
      </w:r>
      <w:r w:rsidR="00EB733C" w:rsidRPr="00EA1CA4">
        <w:rPr>
          <w:b/>
          <w:i/>
        </w:rPr>
        <w:t xml:space="preserve">qendra </w:t>
      </w:r>
      <w:r w:rsidRPr="00EA1CA4">
        <w:rPr>
          <w:b/>
          <w:i/>
        </w:rPr>
        <w:t xml:space="preserve">korrektuese: </w:t>
      </w:r>
      <w:r w:rsidRPr="00EA1CA4">
        <w:t>Përhapja e infeksionit të TB në burg</w:t>
      </w:r>
      <w:r w:rsidR="00EB733C" w:rsidRPr="00EA1CA4">
        <w:t>je</w:t>
      </w:r>
      <w:r w:rsidRPr="00EA1CA4">
        <w:t xml:space="preserve"> është nën kontroll</w:t>
      </w:r>
      <w:r w:rsidR="00EB733C" w:rsidRPr="00EA1CA4">
        <w:t>,</w:t>
      </w:r>
      <w:r w:rsidRPr="00EA1CA4">
        <w:t xml:space="preserve"> me vetëm 2 raste në vitin 2018</w:t>
      </w:r>
      <w:r w:rsidR="00EB733C" w:rsidRPr="00EA1CA4">
        <w:t>,</w:t>
      </w:r>
      <w:r w:rsidRPr="00EA1CA4">
        <w:t xml:space="preserve"> dhe 1 rast të diagnostikuar </w:t>
      </w:r>
      <w:r w:rsidR="00EB733C" w:rsidRPr="00EA1CA4">
        <w:t xml:space="preserve">gjatë pranimit </w:t>
      </w:r>
      <w:r w:rsidRPr="00EA1CA4">
        <w:t>në sistemin e burgjeve në vitin 2019. Që nga viti 2019, shërbimet shëndetësore të burgjeve kanë përshtatur procedura të standardizuara për kontrollin e të burgosurve</w:t>
      </w:r>
      <w:r w:rsidR="00EB733C" w:rsidRPr="00EA1CA4">
        <w:t>,</w:t>
      </w:r>
      <w:r w:rsidRPr="00EA1CA4">
        <w:t xml:space="preserve"> duke përfshirë kontrollin për TB të të burgosurve në </w:t>
      </w:r>
      <w:r w:rsidR="00EB733C" w:rsidRPr="00EA1CA4">
        <w:t xml:space="preserve">pranim </w:t>
      </w:r>
      <w:r w:rsidRPr="00EA1CA4">
        <w:t xml:space="preserve">të sistemit të burgjeve. Ndërhyrjet e mëvonshme për ngritjen e kapaciteteve do të përfshijnë edukimin e vazhdueshëm mjekësor të stafit të burgjeve mbi kontrollin e TB-së, algoritmet diagnostike, menaxhimin e rasteve, gjurmimin e kontakteve, kontrollin e infeksionit, regjistrimin dhe raportimin, koordinimin, si dhe mbikëqyrjen e përbashkët të rasteve të TB nga PKTB. Sesionet e edukimit shëndetësor në </w:t>
      </w:r>
      <w:r w:rsidR="00EB733C" w:rsidRPr="00EA1CA4">
        <w:t xml:space="preserve">qendra korrektuese </w:t>
      </w:r>
      <w:r w:rsidRPr="00EA1CA4">
        <w:t xml:space="preserve">për individët e burgosur dhe personelin e burgjeve janë planifikuar për të rritur ndërgjegjësimin </w:t>
      </w:r>
      <w:r w:rsidR="00EB733C" w:rsidRPr="00EA1CA4">
        <w:t>rreth</w:t>
      </w:r>
      <w:r w:rsidRPr="00EA1CA4">
        <w:t xml:space="preserve"> TB</w:t>
      </w:r>
      <w:r w:rsidR="00EB733C" w:rsidRPr="00EA1CA4">
        <w:t>-së</w:t>
      </w:r>
      <w:r w:rsidR="00AB7EA0" w:rsidRPr="00EA1CA4">
        <w:t xml:space="preserve">. </w:t>
      </w:r>
    </w:p>
    <w:p w:rsidR="00AB7EA0" w:rsidRPr="00EA1CA4" w:rsidRDefault="0061475F" w:rsidP="00624E04">
      <w:pPr>
        <w:autoSpaceDE w:val="0"/>
        <w:autoSpaceDN w:val="0"/>
        <w:adjustRightInd w:val="0"/>
        <w:spacing w:line="276" w:lineRule="auto"/>
        <w:jc w:val="both"/>
      </w:pPr>
      <w:r w:rsidRPr="00EA1CA4">
        <w:rPr>
          <w:b/>
        </w:rPr>
        <w:t>Zbat</w:t>
      </w:r>
      <w:r w:rsidR="00E178A5" w:rsidRPr="00EA1CA4">
        <w:rPr>
          <w:b/>
        </w:rPr>
        <w:t xml:space="preserve">imi i </w:t>
      </w:r>
      <w:r w:rsidRPr="00EA1CA4">
        <w:rPr>
          <w:b/>
        </w:rPr>
        <w:t>strategji</w:t>
      </w:r>
      <w:r w:rsidR="00E178A5" w:rsidRPr="00EA1CA4">
        <w:rPr>
          <w:b/>
        </w:rPr>
        <w:t>s</w:t>
      </w:r>
      <w:r w:rsidRPr="00EA1CA4">
        <w:rPr>
          <w:b/>
        </w:rPr>
        <w:t xml:space="preserve">ë kombëtare të kontrollit të infeksionit në të gjitha </w:t>
      </w:r>
      <w:r w:rsidR="00E178A5" w:rsidRPr="00EA1CA4">
        <w:rPr>
          <w:b/>
        </w:rPr>
        <w:t xml:space="preserve">qendrat </w:t>
      </w:r>
      <w:r w:rsidRPr="00EA1CA4">
        <w:rPr>
          <w:b/>
        </w:rPr>
        <w:t>e Programit të TB</w:t>
      </w:r>
      <w:r w:rsidR="00E178A5" w:rsidRPr="00EA1CA4">
        <w:rPr>
          <w:b/>
        </w:rPr>
        <w:t>-së</w:t>
      </w:r>
      <w:r w:rsidRPr="00EA1CA4">
        <w:rPr>
          <w:b/>
        </w:rPr>
        <w:t xml:space="preserve">: </w:t>
      </w:r>
      <w:r w:rsidRPr="00EA1CA4">
        <w:t xml:space="preserve">Sfidat kryesore me të cilat ballafaqohet  </w:t>
      </w:r>
      <w:r w:rsidR="00E178A5" w:rsidRPr="00EA1CA4">
        <w:t>P</w:t>
      </w:r>
      <w:r w:rsidRPr="00EA1CA4">
        <w:t xml:space="preserve">rogrami </w:t>
      </w:r>
      <w:r w:rsidR="00E178A5" w:rsidRPr="00EA1CA4">
        <w:t>K</w:t>
      </w:r>
      <w:r w:rsidRPr="00EA1CA4">
        <w:t xml:space="preserve">ombëtar </w:t>
      </w:r>
      <w:r w:rsidR="00E178A5" w:rsidRPr="00EA1CA4">
        <w:t>kundër</w:t>
      </w:r>
      <w:r w:rsidRPr="00EA1CA4">
        <w:t xml:space="preserve"> TB</w:t>
      </w:r>
      <w:r w:rsidR="00E178A5" w:rsidRPr="00EA1CA4">
        <w:t>-së</w:t>
      </w:r>
      <w:r w:rsidRPr="00EA1CA4">
        <w:t xml:space="preserve"> janë masat e papërshtatshme të kontrollit të infeksionit, duke përfshirë burime të mjaftueshme për të parandaluar transmetimin spitalor të TB</w:t>
      </w:r>
      <w:r w:rsidR="00E178A5" w:rsidRPr="00EA1CA4">
        <w:t>-së</w:t>
      </w:r>
      <w:r w:rsidRPr="00EA1CA4">
        <w:t xml:space="preserve"> brenda sistemit </w:t>
      </w:r>
      <w:r w:rsidR="00E178A5" w:rsidRPr="00EA1CA4">
        <w:t xml:space="preserve">të </w:t>
      </w:r>
      <w:r w:rsidRPr="00EA1CA4">
        <w:t xml:space="preserve">kujdesit shëndetësor. </w:t>
      </w:r>
      <w:r w:rsidR="00E178A5" w:rsidRPr="00EA1CA4">
        <w:t>Do të forcohet s</w:t>
      </w:r>
      <w:r w:rsidRPr="00EA1CA4">
        <w:t>istemi i kontrollit të Infeksionit (KI)</w:t>
      </w:r>
      <w:r w:rsidR="00E178A5" w:rsidRPr="00EA1CA4">
        <w:t>,</w:t>
      </w:r>
      <w:r w:rsidRPr="00EA1CA4">
        <w:t xml:space="preserve"> dhe </w:t>
      </w:r>
      <w:r w:rsidR="00E178A5" w:rsidRPr="00EA1CA4">
        <w:t xml:space="preserve">do të monitorohet </w:t>
      </w:r>
      <w:r w:rsidRPr="00EA1CA4">
        <w:t xml:space="preserve">pajtueshmëria me udhëzimin e miratuar. Punonjësit e kujdesit shëndetësor dhe jo-shëndetësor në rrezik ndaj ekspozimit ndaj TB-së do të trajnohen vazhdimisht për të praktikuar masat e KI. </w:t>
      </w:r>
      <w:r w:rsidR="00E178A5" w:rsidRPr="00EA1CA4">
        <w:t xml:space="preserve">Do të sigurohet </w:t>
      </w:r>
      <w:r w:rsidRPr="00EA1CA4">
        <w:t xml:space="preserve">Furnizimi adekuat </w:t>
      </w:r>
      <w:r w:rsidR="00E178A5" w:rsidRPr="00EA1CA4">
        <w:t>me</w:t>
      </w:r>
      <w:r w:rsidRPr="00EA1CA4">
        <w:t xml:space="preserve"> pajisje </w:t>
      </w:r>
      <w:r w:rsidR="00E178A5" w:rsidRPr="00EA1CA4">
        <w:t xml:space="preserve">të </w:t>
      </w:r>
      <w:r w:rsidRPr="00EA1CA4">
        <w:t>mbrojt</w:t>
      </w:r>
      <w:r w:rsidR="00E178A5" w:rsidRPr="00EA1CA4">
        <w:t>jes</w:t>
      </w:r>
      <w:r w:rsidRPr="00EA1CA4">
        <w:t xml:space="preserve"> personale për të gjitha </w:t>
      </w:r>
      <w:r w:rsidR="00E178A5" w:rsidRPr="00EA1CA4">
        <w:t xml:space="preserve">klinikat </w:t>
      </w:r>
      <w:r w:rsidRPr="00EA1CA4">
        <w:t xml:space="preserve">e TB-së, duke përfshirë ato në </w:t>
      </w:r>
      <w:r w:rsidR="00E178A5" w:rsidRPr="00EA1CA4">
        <w:t xml:space="preserve">qendrat </w:t>
      </w:r>
      <w:r w:rsidRPr="00EA1CA4">
        <w:t>korrektuese. M</w:t>
      </w:r>
      <w:r w:rsidR="00365F3D" w:rsidRPr="00EA1CA4">
        <w:t>asat individuale të mbrojtjes duhet</w:t>
      </w:r>
      <w:r w:rsidRPr="00EA1CA4">
        <w:t xml:space="preserve"> të përfshijnë: përdorimin e respiratorëve </w:t>
      </w:r>
      <w:r w:rsidR="00E178A5" w:rsidRPr="00EA1CA4">
        <w:t xml:space="preserve">njëpërdorimshme kundër </w:t>
      </w:r>
      <w:r w:rsidRPr="00EA1CA4">
        <w:t>grimcave</w:t>
      </w:r>
      <w:r w:rsidR="00E178A5" w:rsidRPr="00EA1CA4">
        <w:t xml:space="preserve"> (të standardeve të c</w:t>
      </w:r>
      <w:r w:rsidRPr="00EA1CA4">
        <w:t>ertifikuara N95 ose FFP2) nga ofruesit e kujdesit shëndetësor në zonat me rrezik të lartë të transmetimit të TB</w:t>
      </w:r>
      <w:r w:rsidR="00E178A5" w:rsidRPr="00EA1CA4">
        <w:t>-së</w:t>
      </w:r>
      <w:r w:rsidRPr="00EA1CA4">
        <w:t xml:space="preserve">; </w:t>
      </w:r>
      <w:r w:rsidR="00E178A5" w:rsidRPr="00EA1CA4">
        <w:t>d</w:t>
      </w:r>
      <w:r w:rsidRPr="00EA1CA4">
        <w:t>o të sigurohet përdorimi sistematik i maskave kirurgjikale për pacientët me kollitje në të gjitha ambientet. Do të zbatohen masat mjedisore të KI-së</w:t>
      </w:r>
      <w:r w:rsidR="00AB7EA0" w:rsidRPr="00EA1CA4">
        <w:t>.</w:t>
      </w:r>
    </w:p>
    <w:p w:rsidR="00AB7EA0" w:rsidRPr="00EA1CA4" w:rsidRDefault="00AB7EA0" w:rsidP="00624E04">
      <w:pPr>
        <w:autoSpaceDE w:val="0"/>
        <w:autoSpaceDN w:val="0"/>
        <w:adjustRightInd w:val="0"/>
        <w:spacing w:line="276" w:lineRule="auto"/>
        <w:jc w:val="both"/>
      </w:pPr>
    </w:p>
    <w:p w:rsidR="008136D7" w:rsidRPr="00EA1CA4" w:rsidRDefault="0061475F" w:rsidP="008136D7">
      <w:pPr>
        <w:autoSpaceDE w:val="0"/>
        <w:autoSpaceDN w:val="0"/>
        <w:adjustRightInd w:val="0"/>
        <w:spacing w:line="276" w:lineRule="auto"/>
        <w:jc w:val="both"/>
        <w:rPr>
          <w:b/>
          <w:i/>
        </w:rPr>
      </w:pPr>
      <w:r w:rsidRPr="00EA1CA4">
        <w:rPr>
          <w:b/>
          <w:i/>
        </w:rPr>
        <w:t>Aktivitetet e planifikuara</w:t>
      </w:r>
      <w:r w:rsidR="00AB7EA0" w:rsidRPr="00EA1CA4">
        <w:rPr>
          <w:b/>
          <w:i/>
        </w:rPr>
        <w:t>:</w:t>
      </w:r>
    </w:p>
    <w:p w:rsidR="008136D7" w:rsidRPr="00EA1CA4" w:rsidRDefault="008136D7" w:rsidP="008136D7">
      <w:pPr>
        <w:autoSpaceDE w:val="0"/>
        <w:autoSpaceDN w:val="0"/>
        <w:adjustRightInd w:val="0"/>
        <w:spacing w:line="276" w:lineRule="auto"/>
        <w:jc w:val="both"/>
        <w:rPr>
          <w:b/>
          <w:iCs/>
        </w:rPr>
      </w:pPr>
    </w:p>
    <w:p w:rsidR="008136D7" w:rsidRPr="00EA1CA4" w:rsidRDefault="0061475F">
      <w:pPr>
        <w:pStyle w:val="ListParagraph"/>
        <w:numPr>
          <w:ilvl w:val="2"/>
          <w:numId w:val="31"/>
        </w:numPr>
        <w:autoSpaceDE w:val="0"/>
        <w:autoSpaceDN w:val="0"/>
        <w:adjustRightInd w:val="0"/>
        <w:spacing w:line="276" w:lineRule="auto"/>
        <w:jc w:val="both"/>
        <w:rPr>
          <w:rFonts w:ascii="Times New Roman" w:hAnsi="Times New Roman"/>
          <w:b/>
          <w:i/>
          <w:sz w:val="24"/>
          <w:szCs w:val="24"/>
          <w:lang w:val="sq-AL"/>
        </w:rPr>
      </w:pPr>
      <w:r w:rsidRPr="00EA1CA4">
        <w:rPr>
          <w:rFonts w:ascii="Times New Roman" w:hAnsi="Times New Roman"/>
          <w:bCs/>
          <w:sz w:val="24"/>
          <w:szCs w:val="24"/>
          <w:lang w:val="sq-AL"/>
        </w:rPr>
        <w:lastRenderedPageBreak/>
        <w:t>Përmirësimi</w:t>
      </w:r>
      <w:r w:rsidRPr="00EA1CA4">
        <w:rPr>
          <w:rFonts w:ascii="Times New Roman" w:hAnsi="Times New Roman"/>
          <w:sz w:val="24"/>
          <w:szCs w:val="24"/>
          <w:lang w:val="sq-AL"/>
        </w:rPr>
        <w:t xml:space="preserve"> i zbulimit të hershëm përmes </w:t>
      </w:r>
      <w:r w:rsidR="002070A5" w:rsidRPr="00EA1CA4">
        <w:rPr>
          <w:rFonts w:ascii="Times New Roman" w:hAnsi="Times New Roman"/>
          <w:sz w:val="24"/>
          <w:szCs w:val="24"/>
          <w:lang w:val="sq-AL"/>
        </w:rPr>
        <w:t xml:space="preserve">sigurimit të ekzaminimeve </w:t>
      </w:r>
      <w:r w:rsidRPr="00EA1CA4">
        <w:rPr>
          <w:rFonts w:ascii="Times New Roman" w:hAnsi="Times New Roman"/>
          <w:sz w:val="24"/>
          <w:szCs w:val="24"/>
          <w:lang w:val="sq-AL"/>
        </w:rPr>
        <w:t>të TB</w:t>
      </w:r>
      <w:r w:rsidR="002070A5" w:rsidRPr="00EA1CA4">
        <w:rPr>
          <w:rFonts w:ascii="Times New Roman" w:hAnsi="Times New Roman"/>
          <w:sz w:val="24"/>
          <w:szCs w:val="24"/>
          <w:lang w:val="sq-AL"/>
        </w:rPr>
        <w:t>-së</w:t>
      </w:r>
      <w:r w:rsidRPr="00EA1CA4">
        <w:rPr>
          <w:rFonts w:ascii="Times New Roman" w:hAnsi="Times New Roman"/>
          <w:sz w:val="24"/>
          <w:szCs w:val="24"/>
          <w:lang w:val="sq-AL"/>
        </w:rPr>
        <w:t xml:space="preserve"> </w:t>
      </w:r>
      <w:r w:rsidR="002070A5" w:rsidRPr="00EA1CA4">
        <w:rPr>
          <w:rFonts w:ascii="Times New Roman" w:hAnsi="Times New Roman"/>
          <w:sz w:val="24"/>
          <w:szCs w:val="24"/>
          <w:lang w:val="sq-AL"/>
        </w:rPr>
        <w:t>në mesin e popullatave të cenueshme</w:t>
      </w:r>
      <w:r w:rsidRPr="00EA1CA4">
        <w:rPr>
          <w:rFonts w:ascii="Times New Roman" w:hAnsi="Times New Roman"/>
          <w:sz w:val="24"/>
          <w:szCs w:val="24"/>
          <w:lang w:val="sq-AL"/>
        </w:rPr>
        <w:t xml:space="preserve"> / me rrezik të lartë</w:t>
      </w:r>
      <w:r w:rsidR="002070A5" w:rsidRPr="00EA1CA4">
        <w:rPr>
          <w:rFonts w:ascii="Times New Roman" w:hAnsi="Times New Roman"/>
          <w:sz w:val="24"/>
          <w:szCs w:val="24"/>
          <w:lang w:val="sq-AL"/>
        </w:rPr>
        <w:t>,</w:t>
      </w:r>
      <w:r w:rsidRPr="00EA1CA4">
        <w:rPr>
          <w:rFonts w:ascii="Times New Roman" w:hAnsi="Times New Roman"/>
          <w:sz w:val="24"/>
          <w:szCs w:val="24"/>
          <w:lang w:val="sq-AL"/>
        </w:rPr>
        <w:t xml:space="preserve"> bazuar në standardet më të mira ndërkombëtare</w:t>
      </w:r>
    </w:p>
    <w:p w:rsidR="008136D7" w:rsidRPr="00EA1CA4" w:rsidRDefault="0061475F">
      <w:pPr>
        <w:pStyle w:val="ListParagraph"/>
        <w:numPr>
          <w:ilvl w:val="2"/>
          <w:numId w:val="31"/>
        </w:numPr>
        <w:autoSpaceDE w:val="0"/>
        <w:autoSpaceDN w:val="0"/>
        <w:adjustRightInd w:val="0"/>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Sigurimi i ekzaminim</w:t>
      </w:r>
      <w:r w:rsidR="002070A5" w:rsidRPr="00EA1CA4">
        <w:rPr>
          <w:rFonts w:ascii="Times New Roman" w:hAnsi="Times New Roman"/>
          <w:sz w:val="24"/>
          <w:szCs w:val="24"/>
          <w:lang w:val="sq-AL"/>
        </w:rPr>
        <w:t xml:space="preserve">eve </w:t>
      </w:r>
      <w:r w:rsidRPr="00EA1CA4">
        <w:rPr>
          <w:rFonts w:ascii="Times New Roman" w:hAnsi="Times New Roman"/>
          <w:sz w:val="24"/>
          <w:szCs w:val="24"/>
          <w:lang w:val="sq-AL"/>
        </w:rPr>
        <w:t>të TB</w:t>
      </w:r>
      <w:r w:rsidR="002070A5" w:rsidRPr="00EA1CA4">
        <w:rPr>
          <w:rFonts w:ascii="Times New Roman" w:hAnsi="Times New Roman"/>
          <w:sz w:val="24"/>
          <w:szCs w:val="24"/>
          <w:lang w:val="sq-AL"/>
        </w:rPr>
        <w:t>-së</w:t>
      </w:r>
      <w:r w:rsidRPr="00EA1CA4">
        <w:rPr>
          <w:rFonts w:ascii="Times New Roman" w:hAnsi="Times New Roman"/>
          <w:sz w:val="24"/>
          <w:szCs w:val="24"/>
          <w:lang w:val="sq-AL"/>
        </w:rPr>
        <w:t xml:space="preserve"> për anëtarët e </w:t>
      </w:r>
      <w:r w:rsidR="002070A5" w:rsidRPr="00EA1CA4">
        <w:rPr>
          <w:rFonts w:ascii="Times New Roman" w:hAnsi="Times New Roman"/>
          <w:sz w:val="24"/>
          <w:szCs w:val="24"/>
          <w:lang w:val="sq-AL"/>
        </w:rPr>
        <w:t xml:space="preserve">ekonomive </w:t>
      </w:r>
      <w:r w:rsidRPr="00EA1CA4">
        <w:rPr>
          <w:rFonts w:ascii="Times New Roman" w:hAnsi="Times New Roman"/>
          <w:sz w:val="24"/>
          <w:szCs w:val="24"/>
          <w:lang w:val="sq-AL"/>
        </w:rPr>
        <w:t>familj</w:t>
      </w:r>
      <w:r w:rsidR="002070A5" w:rsidRPr="00EA1CA4">
        <w:rPr>
          <w:rFonts w:ascii="Times New Roman" w:hAnsi="Times New Roman"/>
          <w:sz w:val="24"/>
          <w:szCs w:val="24"/>
          <w:lang w:val="sq-AL"/>
        </w:rPr>
        <w:t>are</w:t>
      </w:r>
      <w:r w:rsidRPr="00EA1CA4">
        <w:rPr>
          <w:rFonts w:ascii="Times New Roman" w:hAnsi="Times New Roman"/>
          <w:sz w:val="24"/>
          <w:szCs w:val="24"/>
          <w:lang w:val="sq-AL"/>
        </w:rPr>
        <w:t xml:space="preserve"> dhe kontaktet e ngushta të pacientëve me TB </w:t>
      </w:r>
      <w:r w:rsidR="008136D7" w:rsidRPr="00EA1CA4">
        <w:rPr>
          <w:rFonts w:ascii="Times New Roman" w:hAnsi="Times New Roman"/>
          <w:sz w:val="24"/>
          <w:szCs w:val="24"/>
          <w:lang w:val="sq-AL"/>
        </w:rPr>
        <w:t>active</w:t>
      </w:r>
    </w:p>
    <w:p w:rsidR="008136D7" w:rsidRPr="00EA1CA4" w:rsidRDefault="0061475F">
      <w:pPr>
        <w:pStyle w:val="ListParagraph"/>
        <w:numPr>
          <w:ilvl w:val="2"/>
          <w:numId w:val="31"/>
        </w:numPr>
        <w:autoSpaceDE w:val="0"/>
        <w:autoSpaceDN w:val="0"/>
        <w:adjustRightInd w:val="0"/>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 xml:space="preserve">Sigurimi i aktiviteteve për gjetjen e rasteve </w:t>
      </w:r>
      <w:r w:rsidR="002070A5" w:rsidRPr="00EA1CA4">
        <w:rPr>
          <w:rFonts w:ascii="Times New Roman" w:hAnsi="Times New Roman"/>
          <w:sz w:val="24"/>
          <w:szCs w:val="24"/>
          <w:lang w:val="sq-AL"/>
        </w:rPr>
        <w:t xml:space="preserve">aktive </w:t>
      </w:r>
      <w:r w:rsidRPr="00EA1CA4">
        <w:rPr>
          <w:rFonts w:ascii="Times New Roman" w:hAnsi="Times New Roman"/>
          <w:sz w:val="24"/>
          <w:szCs w:val="24"/>
          <w:lang w:val="sq-AL"/>
        </w:rPr>
        <w:t>në zonat me ngarkesë të lartë për TB</w:t>
      </w:r>
      <w:r w:rsidR="00AB7EA0" w:rsidRPr="00EA1CA4">
        <w:rPr>
          <w:rFonts w:ascii="Times New Roman" w:hAnsi="Times New Roman"/>
          <w:sz w:val="24"/>
          <w:szCs w:val="24"/>
          <w:lang w:val="sq-AL"/>
        </w:rPr>
        <w:t>.</w:t>
      </w:r>
    </w:p>
    <w:p w:rsidR="008136D7" w:rsidRPr="00EA1CA4" w:rsidRDefault="0061475F">
      <w:pPr>
        <w:pStyle w:val="ListParagraph"/>
        <w:numPr>
          <w:ilvl w:val="2"/>
          <w:numId w:val="31"/>
        </w:numPr>
        <w:autoSpaceDE w:val="0"/>
        <w:autoSpaceDN w:val="0"/>
        <w:adjustRightInd w:val="0"/>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 xml:space="preserve">Sigurimi i </w:t>
      </w:r>
      <w:r w:rsidR="002070A5" w:rsidRPr="00EA1CA4">
        <w:rPr>
          <w:rFonts w:ascii="Times New Roman" w:hAnsi="Times New Roman"/>
          <w:sz w:val="24"/>
          <w:szCs w:val="24"/>
          <w:lang w:val="sq-AL"/>
        </w:rPr>
        <w:t xml:space="preserve">ekzaminimit </w:t>
      </w:r>
      <w:r w:rsidRPr="00EA1CA4">
        <w:rPr>
          <w:rFonts w:ascii="Times New Roman" w:hAnsi="Times New Roman"/>
          <w:sz w:val="24"/>
          <w:szCs w:val="24"/>
          <w:lang w:val="sq-AL"/>
        </w:rPr>
        <w:t xml:space="preserve">për trajtimin parandalues të </w:t>
      </w:r>
      <w:r w:rsidR="002070A5" w:rsidRPr="00EA1CA4">
        <w:rPr>
          <w:rFonts w:ascii="Times New Roman" w:hAnsi="Times New Roman"/>
          <w:sz w:val="24"/>
          <w:szCs w:val="24"/>
          <w:lang w:val="sq-AL"/>
        </w:rPr>
        <w:t>I</w:t>
      </w:r>
      <w:r w:rsidR="00EA4027" w:rsidRPr="00EA1CA4">
        <w:rPr>
          <w:rFonts w:ascii="Times New Roman" w:hAnsi="Times New Roman"/>
          <w:sz w:val="24"/>
          <w:szCs w:val="24"/>
          <w:lang w:val="sq-AL"/>
        </w:rPr>
        <w:t xml:space="preserve">LTB </w:t>
      </w:r>
      <w:r w:rsidRPr="00EA1CA4">
        <w:rPr>
          <w:rFonts w:ascii="Times New Roman" w:hAnsi="Times New Roman"/>
          <w:sz w:val="24"/>
          <w:szCs w:val="24"/>
          <w:lang w:val="sq-AL"/>
        </w:rPr>
        <w:t xml:space="preserve">dhe TB për të gjithë pacientët me </w:t>
      </w:r>
      <w:r w:rsidR="00EA4027" w:rsidRPr="00EA1CA4">
        <w:rPr>
          <w:rFonts w:ascii="Times New Roman" w:hAnsi="Times New Roman"/>
          <w:sz w:val="24"/>
          <w:szCs w:val="24"/>
          <w:lang w:val="sq-AL"/>
        </w:rPr>
        <w:t>ILTB</w:t>
      </w:r>
    </w:p>
    <w:p w:rsidR="008136D7" w:rsidRPr="00EA1CA4" w:rsidRDefault="002070A5">
      <w:pPr>
        <w:pStyle w:val="ListParagraph"/>
        <w:numPr>
          <w:ilvl w:val="2"/>
          <w:numId w:val="31"/>
        </w:numPr>
        <w:autoSpaceDE w:val="0"/>
        <w:autoSpaceDN w:val="0"/>
        <w:adjustRightInd w:val="0"/>
        <w:spacing w:line="276" w:lineRule="auto"/>
        <w:jc w:val="both"/>
        <w:rPr>
          <w:rFonts w:ascii="Times New Roman" w:hAnsi="Times New Roman"/>
          <w:b/>
          <w:i/>
          <w:sz w:val="24"/>
          <w:szCs w:val="24"/>
          <w:lang w:val="it-IT"/>
        </w:rPr>
      </w:pPr>
      <w:r w:rsidRPr="00EA1CA4">
        <w:rPr>
          <w:rFonts w:ascii="Times New Roman" w:hAnsi="Times New Roman"/>
          <w:sz w:val="24"/>
          <w:szCs w:val="24"/>
          <w:lang w:val="sq-AL"/>
        </w:rPr>
        <w:t>Përmirësimi i parandalimit, diagnostikimit dhe trajtimit të TB-së tek fëmijët</w:t>
      </w:r>
    </w:p>
    <w:p w:rsidR="008136D7" w:rsidRPr="00EA1CA4" w:rsidRDefault="002070A5">
      <w:pPr>
        <w:pStyle w:val="ListParagraph"/>
        <w:numPr>
          <w:ilvl w:val="2"/>
          <w:numId w:val="31"/>
        </w:numPr>
        <w:autoSpaceDE w:val="0"/>
        <w:autoSpaceDN w:val="0"/>
        <w:adjustRightInd w:val="0"/>
        <w:spacing w:line="276" w:lineRule="auto"/>
        <w:jc w:val="both"/>
        <w:rPr>
          <w:rFonts w:ascii="Times New Roman" w:hAnsi="Times New Roman"/>
          <w:b/>
          <w:i/>
          <w:sz w:val="24"/>
          <w:szCs w:val="24"/>
          <w:lang w:val="it-IT"/>
        </w:rPr>
      </w:pPr>
      <w:r w:rsidRPr="00EA1CA4">
        <w:rPr>
          <w:rFonts w:ascii="Times New Roman" w:hAnsi="Times New Roman"/>
          <w:sz w:val="24"/>
          <w:szCs w:val="24"/>
          <w:lang w:val="sq-AL"/>
        </w:rPr>
        <w:t>Përmirësimi i menaxhimit dhe koordinimit të rasteve të TB-së në mjediset korrektuese, duke përfshirë ndërhyrjet për ngritjen e kapaciteteve të stafit të burgjeve</w:t>
      </w:r>
    </w:p>
    <w:p w:rsidR="008136D7" w:rsidRPr="00EA1CA4" w:rsidRDefault="002070A5">
      <w:pPr>
        <w:pStyle w:val="ListParagraph"/>
        <w:numPr>
          <w:ilvl w:val="2"/>
          <w:numId w:val="31"/>
        </w:numPr>
        <w:autoSpaceDE w:val="0"/>
        <w:autoSpaceDN w:val="0"/>
        <w:adjustRightInd w:val="0"/>
        <w:spacing w:line="276" w:lineRule="auto"/>
        <w:jc w:val="both"/>
        <w:rPr>
          <w:rFonts w:ascii="Times New Roman" w:hAnsi="Times New Roman"/>
          <w:b/>
          <w:i/>
          <w:sz w:val="24"/>
          <w:szCs w:val="24"/>
          <w:lang w:val="it-IT"/>
        </w:rPr>
      </w:pPr>
      <w:r w:rsidRPr="00EA1CA4">
        <w:rPr>
          <w:rFonts w:ascii="Times New Roman" w:hAnsi="Times New Roman"/>
          <w:sz w:val="24"/>
          <w:szCs w:val="24"/>
          <w:lang w:val="sq-AL"/>
        </w:rPr>
        <w:t>Zbatimi i strategjisë kombëtare të kontrollit të infektimit në të gjitha objektet e Programit të TB-së</w:t>
      </w:r>
    </w:p>
    <w:p w:rsidR="008136D7" w:rsidRPr="00EA1CA4" w:rsidRDefault="002070A5">
      <w:pPr>
        <w:pStyle w:val="ListParagraph"/>
        <w:numPr>
          <w:ilvl w:val="2"/>
          <w:numId w:val="31"/>
        </w:numPr>
        <w:autoSpaceDE w:val="0"/>
        <w:autoSpaceDN w:val="0"/>
        <w:adjustRightInd w:val="0"/>
        <w:spacing w:line="276" w:lineRule="auto"/>
        <w:jc w:val="both"/>
        <w:rPr>
          <w:rFonts w:ascii="Times New Roman" w:hAnsi="Times New Roman"/>
          <w:b/>
          <w:i/>
          <w:sz w:val="24"/>
          <w:szCs w:val="24"/>
          <w:lang w:val="it-IT"/>
        </w:rPr>
      </w:pPr>
      <w:r w:rsidRPr="00EA1CA4">
        <w:rPr>
          <w:rFonts w:ascii="Times New Roman" w:hAnsi="Times New Roman"/>
          <w:sz w:val="24"/>
          <w:szCs w:val="24"/>
          <w:lang w:val="sq-AL"/>
        </w:rPr>
        <w:t>Kryerja e ekzaminimit të TB-së tek punonjësit e kujdesit shëndetësor, duke synuar kryesisht stafin shëndetësor të qendrave shëndetësore të TB-së</w:t>
      </w:r>
    </w:p>
    <w:p w:rsidR="00AB7EA0" w:rsidRPr="00EA1CA4" w:rsidRDefault="0061475F">
      <w:pPr>
        <w:pStyle w:val="ListParagraph"/>
        <w:numPr>
          <w:ilvl w:val="2"/>
          <w:numId w:val="31"/>
        </w:numPr>
        <w:autoSpaceDE w:val="0"/>
        <w:autoSpaceDN w:val="0"/>
        <w:adjustRightInd w:val="0"/>
        <w:spacing w:line="276" w:lineRule="auto"/>
        <w:jc w:val="both"/>
        <w:rPr>
          <w:rFonts w:ascii="Times New Roman" w:hAnsi="Times New Roman"/>
          <w:b/>
          <w:i/>
          <w:sz w:val="24"/>
          <w:szCs w:val="24"/>
          <w:lang w:val="it-IT"/>
        </w:rPr>
      </w:pPr>
      <w:r w:rsidRPr="00EA1CA4">
        <w:rPr>
          <w:rFonts w:ascii="Times New Roman" w:hAnsi="Times New Roman"/>
          <w:sz w:val="24"/>
          <w:szCs w:val="24"/>
          <w:lang w:val="sq-AL"/>
        </w:rPr>
        <w:t>Sigurimi dhe ruajtja e vaksinimit universal të BCG</w:t>
      </w:r>
      <w:r w:rsidR="00AB7EA0" w:rsidRPr="00EA1CA4">
        <w:rPr>
          <w:rFonts w:ascii="Times New Roman" w:hAnsi="Times New Roman"/>
          <w:color w:val="FF0000"/>
          <w:sz w:val="24"/>
          <w:szCs w:val="24"/>
          <w:lang w:val="sq-AL"/>
        </w:rPr>
        <w:t>.</w:t>
      </w:r>
    </w:p>
    <w:p w:rsidR="00AB7EA0" w:rsidRPr="00EA1CA4" w:rsidRDefault="00AB7EA0" w:rsidP="00624E04">
      <w:pPr>
        <w:spacing w:line="276" w:lineRule="auto"/>
        <w:jc w:val="both"/>
      </w:pPr>
    </w:p>
    <w:p w:rsidR="00E90EA1" w:rsidRPr="00EA1CA4" w:rsidRDefault="00E90EA1" w:rsidP="00624E04">
      <w:pPr>
        <w:spacing w:line="276" w:lineRule="auto"/>
        <w:jc w:val="both"/>
        <w:rPr>
          <w:b/>
        </w:rPr>
      </w:pPr>
      <w:r w:rsidRPr="00EA1CA4">
        <w:rPr>
          <w:b/>
          <w:i/>
        </w:rPr>
        <w:t>Rezultatet e pritshme:</w:t>
      </w:r>
    </w:p>
    <w:p w:rsidR="00E90EA1" w:rsidRPr="00EA1CA4" w:rsidRDefault="00E90EA1">
      <w:pPr>
        <w:pStyle w:val="ListParagraph"/>
        <w:numPr>
          <w:ilvl w:val="0"/>
          <w:numId w:val="22"/>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Mbulim</w:t>
      </w:r>
      <w:r w:rsidR="00250C19" w:rsidRPr="00EA1CA4">
        <w:rPr>
          <w:rFonts w:ascii="Times New Roman" w:hAnsi="Times New Roman"/>
          <w:sz w:val="24"/>
          <w:szCs w:val="24"/>
          <w:lang w:val="sq-AL"/>
        </w:rPr>
        <w:t>i</w:t>
      </w:r>
      <w:r w:rsidRPr="00EA1CA4">
        <w:rPr>
          <w:rFonts w:ascii="Times New Roman" w:hAnsi="Times New Roman"/>
          <w:sz w:val="24"/>
          <w:szCs w:val="24"/>
          <w:lang w:val="sq-AL"/>
        </w:rPr>
        <w:t xml:space="preserve"> i përmirësuar i kontakteve me </w:t>
      </w:r>
      <w:r w:rsidR="00250C19" w:rsidRPr="00EA1CA4">
        <w:rPr>
          <w:rFonts w:ascii="Times New Roman" w:hAnsi="Times New Roman"/>
          <w:sz w:val="24"/>
          <w:szCs w:val="24"/>
          <w:lang w:val="sq-AL"/>
        </w:rPr>
        <w:t xml:space="preserve">ekzaminimin </w:t>
      </w:r>
      <w:r w:rsidRPr="00EA1CA4">
        <w:rPr>
          <w:rFonts w:ascii="Times New Roman" w:hAnsi="Times New Roman"/>
          <w:sz w:val="24"/>
          <w:szCs w:val="24"/>
          <w:lang w:val="sq-AL"/>
        </w:rPr>
        <w:t>sistematik për TB aktiv</w:t>
      </w:r>
      <w:r w:rsidRPr="00EA1CA4">
        <w:rPr>
          <w:rStyle w:val="FootnoteReference"/>
          <w:rFonts w:ascii="Times New Roman" w:hAnsi="Times New Roman"/>
          <w:sz w:val="24"/>
          <w:szCs w:val="24"/>
          <w:lang w:val="sq-AL"/>
        </w:rPr>
        <w:footnoteReference w:id="39"/>
      </w:r>
    </w:p>
    <w:p w:rsidR="00E90EA1" w:rsidRPr="00EA1CA4" w:rsidRDefault="00E90EA1">
      <w:pPr>
        <w:pStyle w:val="ListParagraph"/>
        <w:numPr>
          <w:ilvl w:val="0"/>
          <w:numId w:val="22"/>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Përqindja e pacientëve të rinj të njoftuar </w:t>
      </w:r>
      <w:r w:rsidR="00250C19" w:rsidRPr="00EA1CA4">
        <w:rPr>
          <w:rFonts w:ascii="Times New Roman" w:hAnsi="Times New Roman"/>
          <w:sz w:val="24"/>
          <w:szCs w:val="24"/>
          <w:lang w:val="sq-AL"/>
        </w:rPr>
        <w:t xml:space="preserve">me TB </w:t>
      </w:r>
      <w:r w:rsidRPr="00EA1CA4">
        <w:rPr>
          <w:rFonts w:ascii="Times New Roman" w:hAnsi="Times New Roman"/>
          <w:sz w:val="24"/>
          <w:szCs w:val="24"/>
          <w:lang w:val="sq-AL"/>
        </w:rPr>
        <w:t xml:space="preserve">dhe të </w:t>
      </w:r>
      <w:r w:rsidR="00250C19" w:rsidRPr="00EA1CA4">
        <w:rPr>
          <w:rFonts w:ascii="Times New Roman" w:hAnsi="Times New Roman"/>
          <w:sz w:val="24"/>
          <w:szCs w:val="24"/>
          <w:lang w:val="sq-AL"/>
        </w:rPr>
        <w:t xml:space="preserve">përsëritura </w:t>
      </w:r>
      <w:r w:rsidRPr="00EA1CA4">
        <w:rPr>
          <w:rFonts w:ascii="Times New Roman" w:hAnsi="Times New Roman"/>
          <w:sz w:val="24"/>
          <w:szCs w:val="24"/>
          <w:lang w:val="sq-AL"/>
        </w:rPr>
        <w:t>që testojnë duke përdorur teste të shpejta të rekomanduara nga OBSH po rritet</w:t>
      </w:r>
      <w:r w:rsidRPr="00EA1CA4">
        <w:rPr>
          <w:rStyle w:val="FootnoteReference"/>
          <w:rFonts w:ascii="Times New Roman" w:hAnsi="Times New Roman"/>
          <w:sz w:val="24"/>
          <w:szCs w:val="24"/>
          <w:lang w:val="sq-AL"/>
        </w:rPr>
        <w:footnoteReference w:id="40"/>
      </w:r>
    </w:p>
    <w:p w:rsidR="00E90EA1" w:rsidRPr="00EA1CA4" w:rsidRDefault="00E90EA1">
      <w:pPr>
        <w:pStyle w:val="ListParagraph"/>
        <w:numPr>
          <w:ilvl w:val="0"/>
          <w:numId w:val="22"/>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Përmirësim i shkallës së zbulimit të rasteve të TB(%)</w:t>
      </w:r>
      <w:r w:rsidRPr="00EA1CA4">
        <w:rPr>
          <w:rStyle w:val="FootnoteReference"/>
          <w:rFonts w:ascii="Times New Roman" w:hAnsi="Times New Roman"/>
          <w:sz w:val="24"/>
          <w:szCs w:val="24"/>
          <w:lang w:val="sq-AL"/>
        </w:rPr>
        <w:footnoteReference w:id="41"/>
      </w:r>
    </w:p>
    <w:p w:rsidR="00E90EA1" w:rsidRPr="00EA1CA4" w:rsidRDefault="00E90EA1">
      <w:pPr>
        <w:pStyle w:val="ListParagraph"/>
        <w:numPr>
          <w:ilvl w:val="0"/>
          <w:numId w:val="22"/>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Përmirësim i shkallës së zbulimit të rasteve të RR/MDR</w:t>
      </w:r>
      <w:r w:rsidR="00250C19" w:rsidRPr="00EA1CA4">
        <w:rPr>
          <w:rFonts w:ascii="Times New Roman" w:hAnsi="Times New Roman"/>
          <w:sz w:val="24"/>
          <w:szCs w:val="24"/>
          <w:lang w:val="sq-AL"/>
        </w:rPr>
        <w:t xml:space="preserve"> TB</w:t>
      </w:r>
      <w:r w:rsidRPr="00EA1CA4">
        <w:rPr>
          <w:rFonts w:ascii="Times New Roman" w:hAnsi="Times New Roman"/>
          <w:sz w:val="24"/>
          <w:szCs w:val="24"/>
          <w:lang w:val="sq-AL"/>
        </w:rPr>
        <w:t>(%).</w:t>
      </w:r>
      <w:r w:rsidRPr="00EA1CA4">
        <w:rPr>
          <w:rStyle w:val="FootnoteReference"/>
          <w:rFonts w:ascii="Times New Roman" w:hAnsi="Times New Roman"/>
          <w:sz w:val="24"/>
          <w:szCs w:val="24"/>
          <w:lang w:val="sq-AL"/>
        </w:rPr>
        <w:footnoteReference w:id="42"/>
      </w:r>
    </w:p>
    <w:p w:rsidR="00E90EA1" w:rsidRPr="00EA1CA4" w:rsidRDefault="00E90EA1">
      <w:pPr>
        <w:pStyle w:val="ListParagraph"/>
        <w:numPr>
          <w:ilvl w:val="0"/>
          <w:numId w:val="22"/>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Përmirësim i mbulimit të trajtimit </w:t>
      </w:r>
      <w:r w:rsidR="00250C19" w:rsidRPr="00EA1CA4">
        <w:rPr>
          <w:rFonts w:ascii="Times New Roman" w:hAnsi="Times New Roman"/>
          <w:sz w:val="24"/>
          <w:szCs w:val="24"/>
          <w:lang w:val="sq-AL"/>
        </w:rPr>
        <w:t xml:space="preserve">për </w:t>
      </w:r>
      <w:r w:rsidR="002070A5" w:rsidRPr="00EA1CA4">
        <w:rPr>
          <w:rFonts w:ascii="Times New Roman" w:hAnsi="Times New Roman"/>
          <w:sz w:val="24"/>
          <w:szCs w:val="24"/>
          <w:lang w:val="sq-AL"/>
        </w:rPr>
        <w:t>I</w:t>
      </w:r>
      <w:r w:rsidRPr="00EA1CA4">
        <w:rPr>
          <w:rFonts w:ascii="Times New Roman" w:hAnsi="Times New Roman"/>
          <w:sz w:val="24"/>
          <w:szCs w:val="24"/>
          <w:lang w:val="sq-AL"/>
        </w:rPr>
        <w:t>LTB</w:t>
      </w:r>
      <w:r w:rsidRPr="00EA1CA4">
        <w:rPr>
          <w:rStyle w:val="FootnoteReference"/>
          <w:rFonts w:ascii="Times New Roman" w:hAnsi="Times New Roman"/>
          <w:sz w:val="24"/>
          <w:szCs w:val="24"/>
          <w:lang w:val="sq-AL"/>
        </w:rPr>
        <w:footnoteReference w:id="43"/>
      </w:r>
    </w:p>
    <w:p w:rsidR="00E90EA1" w:rsidRPr="00EA1CA4" w:rsidRDefault="00E90EA1">
      <w:pPr>
        <w:pStyle w:val="ListParagraph"/>
        <w:numPr>
          <w:ilvl w:val="0"/>
          <w:numId w:val="22"/>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Vaksinimi universal </w:t>
      </w:r>
      <w:r w:rsidR="00250C19" w:rsidRPr="00EA1CA4">
        <w:rPr>
          <w:rFonts w:ascii="Times New Roman" w:hAnsi="Times New Roman"/>
          <w:sz w:val="24"/>
          <w:szCs w:val="24"/>
          <w:lang w:val="sq-AL"/>
        </w:rPr>
        <w:t xml:space="preserve">kundër </w:t>
      </w:r>
      <w:r w:rsidRPr="00EA1CA4">
        <w:rPr>
          <w:rFonts w:ascii="Times New Roman" w:hAnsi="Times New Roman"/>
          <w:sz w:val="24"/>
          <w:szCs w:val="24"/>
          <w:lang w:val="sq-AL"/>
        </w:rPr>
        <w:t xml:space="preserve">BCG është i përfshirë </w:t>
      </w:r>
    </w:p>
    <w:p w:rsidR="00E90EA1" w:rsidRPr="00EA1CA4" w:rsidRDefault="00E90EA1">
      <w:pPr>
        <w:pStyle w:val="ListParagraph"/>
        <w:numPr>
          <w:ilvl w:val="0"/>
          <w:numId w:val="22"/>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lastRenderedPageBreak/>
        <w:t xml:space="preserve">Shkalla e njoftimit për TB (të gjitha format) </w:t>
      </w:r>
      <w:r w:rsidR="00250C19" w:rsidRPr="00EA1CA4">
        <w:rPr>
          <w:rFonts w:ascii="Times New Roman" w:hAnsi="Times New Roman"/>
          <w:sz w:val="24"/>
          <w:szCs w:val="24"/>
          <w:lang w:val="sq-AL"/>
        </w:rPr>
        <w:t>tek</w:t>
      </w:r>
      <w:r w:rsidRPr="00EA1CA4">
        <w:rPr>
          <w:rFonts w:ascii="Times New Roman" w:hAnsi="Times New Roman"/>
          <w:sz w:val="24"/>
          <w:szCs w:val="24"/>
          <w:lang w:val="sq-AL"/>
        </w:rPr>
        <w:t xml:space="preserve"> personeli </w:t>
      </w:r>
      <w:r w:rsidR="00250C19" w:rsidRPr="00EA1CA4">
        <w:rPr>
          <w:rFonts w:ascii="Times New Roman" w:hAnsi="Times New Roman"/>
          <w:sz w:val="24"/>
          <w:szCs w:val="24"/>
          <w:lang w:val="sq-AL"/>
        </w:rPr>
        <w:t>i</w:t>
      </w:r>
      <w:r w:rsidRPr="00EA1CA4">
        <w:rPr>
          <w:rFonts w:ascii="Times New Roman" w:hAnsi="Times New Roman"/>
          <w:sz w:val="24"/>
          <w:szCs w:val="24"/>
          <w:lang w:val="sq-AL"/>
        </w:rPr>
        <w:t xml:space="preserve"> kujdesit shëndetësor është e ngjashme me atë </w:t>
      </w:r>
      <w:r w:rsidR="00250C19" w:rsidRPr="00EA1CA4">
        <w:rPr>
          <w:rFonts w:ascii="Times New Roman" w:hAnsi="Times New Roman"/>
          <w:sz w:val="24"/>
          <w:szCs w:val="24"/>
          <w:lang w:val="sq-AL"/>
        </w:rPr>
        <w:t>t</w:t>
      </w:r>
      <w:r w:rsidRPr="00EA1CA4">
        <w:rPr>
          <w:rFonts w:ascii="Times New Roman" w:hAnsi="Times New Roman"/>
          <w:sz w:val="24"/>
          <w:szCs w:val="24"/>
          <w:lang w:val="sq-AL"/>
        </w:rPr>
        <w:t>ë popullatë</w:t>
      </w:r>
      <w:r w:rsidR="00250C19" w:rsidRPr="00EA1CA4">
        <w:rPr>
          <w:rFonts w:ascii="Times New Roman" w:hAnsi="Times New Roman"/>
          <w:sz w:val="24"/>
          <w:szCs w:val="24"/>
          <w:lang w:val="sq-AL"/>
        </w:rPr>
        <w:t>s</w:t>
      </w:r>
      <w:r w:rsidRPr="00EA1CA4">
        <w:rPr>
          <w:rFonts w:ascii="Times New Roman" w:hAnsi="Times New Roman"/>
          <w:sz w:val="24"/>
          <w:szCs w:val="24"/>
          <w:lang w:val="sq-AL"/>
        </w:rPr>
        <w:t xml:space="preserve"> </w:t>
      </w:r>
      <w:r w:rsidR="00250C19" w:rsidRPr="00EA1CA4">
        <w:rPr>
          <w:rFonts w:ascii="Times New Roman" w:hAnsi="Times New Roman"/>
          <w:sz w:val="24"/>
          <w:szCs w:val="24"/>
          <w:lang w:val="sq-AL"/>
        </w:rPr>
        <w:t>së</w:t>
      </w:r>
      <w:r w:rsidRPr="00EA1CA4">
        <w:rPr>
          <w:rFonts w:ascii="Times New Roman" w:hAnsi="Times New Roman"/>
          <w:sz w:val="24"/>
          <w:szCs w:val="24"/>
          <w:lang w:val="sq-AL"/>
        </w:rPr>
        <w:t xml:space="preserve"> përgjithshme </w:t>
      </w:r>
    </w:p>
    <w:p w:rsidR="00E90EA1" w:rsidRPr="00EA1CA4" w:rsidRDefault="00E90EA1">
      <w:pPr>
        <w:pStyle w:val="ListParagraph"/>
        <w:numPr>
          <w:ilvl w:val="0"/>
          <w:numId w:val="22"/>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Numri i popullatave të grupeve me rrezik të lartë (p.sh. anëtarët e komunitetit RAE) të regjistruar në aktivitetet e </w:t>
      </w:r>
      <w:r w:rsidR="00250C19" w:rsidRPr="00EA1CA4">
        <w:rPr>
          <w:rFonts w:ascii="Times New Roman" w:hAnsi="Times New Roman"/>
          <w:sz w:val="24"/>
          <w:szCs w:val="24"/>
          <w:lang w:val="sq-AL"/>
        </w:rPr>
        <w:t xml:space="preserve">ekzaminimit </w:t>
      </w:r>
      <w:r w:rsidRPr="00EA1CA4">
        <w:rPr>
          <w:rFonts w:ascii="Times New Roman" w:hAnsi="Times New Roman"/>
          <w:sz w:val="24"/>
          <w:szCs w:val="24"/>
          <w:lang w:val="sq-AL"/>
        </w:rPr>
        <w:t xml:space="preserve">të TB rritet </w:t>
      </w:r>
      <w:r w:rsidR="00250C19" w:rsidRPr="00EA1CA4">
        <w:rPr>
          <w:rFonts w:ascii="Times New Roman" w:hAnsi="Times New Roman"/>
          <w:sz w:val="24"/>
          <w:szCs w:val="24"/>
          <w:lang w:val="sq-AL"/>
        </w:rPr>
        <w:t>për</w:t>
      </w:r>
      <w:r w:rsidRPr="00EA1CA4">
        <w:rPr>
          <w:rFonts w:ascii="Times New Roman" w:hAnsi="Times New Roman"/>
          <w:sz w:val="24"/>
          <w:szCs w:val="24"/>
          <w:lang w:val="sq-AL"/>
        </w:rPr>
        <w:t xml:space="preserve"> 20%. </w:t>
      </w:r>
    </w:p>
    <w:p w:rsidR="00E90EA1" w:rsidRPr="00EA1CA4" w:rsidRDefault="00E90EA1" w:rsidP="00624E04">
      <w:pPr>
        <w:spacing w:before="120" w:after="120" w:line="276" w:lineRule="auto"/>
        <w:jc w:val="both"/>
        <w:rPr>
          <w:highlight w:val="yellow"/>
        </w:rPr>
      </w:pPr>
      <w:r w:rsidRPr="00EA1CA4">
        <w:t>Përqindja e personave me TB</w:t>
      </w:r>
      <w:r w:rsidR="00250C19" w:rsidRPr="00EA1CA4">
        <w:t>,</w:t>
      </w:r>
      <w:r w:rsidRPr="00EA1CA4">
        <w:t xml:space="preserve"> të gjetur përmes aktiviteteve të gjetjes së rasteve </w:t>
      </w:r>
      <w:r w:rsidR="00250C19" w:rsidRPr="00EA1CA4">
        <w:t xml:space="preserve">aktive, </w:t>
      </w:r>
      <w:r w:rsidRPr="00EA1CA4">
        <w:t>të zbatuara përmes OSHC-ve është në rritje.</w:t>
      </w:r>
      <w:r w:rsidRPr="00EA1CA4">
        <w:rPr>
          <w:rStyle w:val="FootnoteReference"/>
        </w:rPr>
        <w:footnoteReference w:id="44"/>
      </w:r>
    </w:p>
    <w:p w:rsidR="00E90EA1" w:rsidRPr="00EA1CA4" w:rsidRDefault="00E90EA1" w:rsidP="00624E04">
      <w:pPr>
        <w:spacing w:line="276" w:lineRule="auto"/>
        <w:jc w:val="both"/>
        <w:rPr>
          <w:b/>
        </w:rPr>
      </w:pPr>
      <w:r w:rsidRPr="00EA1CA4">
        <w:rPr>
          <w:b/>
        </w:rPr>
        <w:t>Rezultati 1.3 Rritja e kapacitet</w:t>
      </w:r>
      <w:r w:rsidR="00250C19" w:rsidRPr="00EA1CA4">
        <w:rPr>
          <w:b/>
        </w:rPr>
        <w:t xml:space="preserve">eve </w:t>
      </w:r>
      <w:r w:rsidRPr="00EA1CA4">
        <w:rPr>
          <w:b/>
        </w:rPr>
        <w:t>laboratorik</w:t>
      </w:r>
      <w:r w:rsidR="00250C19" w:rsidRPr="00EA1CA4">
        <w:rPr>
          <w:b/>
        </w:rPr>
        <w:t>e</w:t>
      </w:r>
      <w:r w:rsidRPr="00EA1CA4">
        <w:rPr>
          <w:b/>
        </w:rPr>
        <w:t xml:space="preserve"> të TB</w:t>
      </w:r>
      <w:r w:rsidR="00250C19" w:rsidRPr="00EA1CA4">
        <w:rPr>
          <w:b/>
        </w:rPr>
        <w:t>-së,</w:t>
      </w:r>
      <w:r w:rsidRPr="00EA1CA4">
        <w:rPr>
          <w:b/>
        </w:rPr>
        <w:t xml:space="preserve"> duke aplikuar metoda të reja diagnostikuese</w:t>
      </w:r>
      <w:r w:rsidR="00250C19" w:rsidRPr="00EA1CA4">
        <w:rPr>
          <w:b/>
        </w:rPr>
        <w:t>,</w:t>
      </w:r>
      <w:r w:rsidRPr="00EA1CA4">
        <w:rPr>
          <w:b/>
        </w:rPr>
        <w:t xml:space="preserve"> duke zhvilluar shërbime diagnostikuese M/XDR-TB dhe duke përmirësuar Sigurimin e Jashtëm të Cilësisë (EQA)</w:t>
      </w:r>
    </w:p>
    <w:p w:rsidR="00E90EA1" w:rsidRPr="00EA1CA4" w:rsidRDefault="00E90EA1" w:rsidP="00624E04">
      <w:pPr>
        <w:spacing w:line="276" w:lineRule="auto"/>
        <w:jc w:val="both"/>
        <w:rPr>
          <w:b/>
          <w:iCs/>
          <w:color w:val="000000"/>
        </w:rPr>
      </w:pPr>
    </w:p>
    <w:p w:rsidR="00E90EA1" w:rsidRPr="00EA1CA4" w:rsidRDefault="00E90EA1" w:rsidP="00624E04">
      <w:pPr>
        <w:spacing w:line="276" w:lineRule="auto"/>
        <w:jc w:val="both"/>
        <w:rPr>
          <w:color w:val="000000"/>
        </w:rPr>
      </w:pPr>
      <w:r w:rsidRPr="00EA1CA4">
        <w:rPr>
          <w:b/>
          <w:iCs/>
          <w:color w:val="000000"/>
        </w:rPr>
        <w:t xml:space="preserve">Funksionimi </w:t>
      </w:r>
      <w:r w:rsidR="0091605E" w:rsidRPr="00EA1CA4">
        <w:rPr>
          <w:b/>
          <w:iCs/>
          <w:color w:val="000000"/>
        </w:rPr>
        <w:t>nën-</w:t>
      </w:r>
      <w:r w:rsidRPr="00EA1CA4">
        <w:rPr>
          <w:b/>
          <w:iCs/>
          <w:color w:val="000000"/>
        </w:rPr>
        <w:t>optimal i laboratorit të TB</w:t>
      </w:r>
      <w:r w:rsidR="0091605E" w:rsidRPr="00EA1CA4">
        <w:rPr>
          <w:b/>
          <w:iCs/>
          <w:color w:val="000000"/>
        </w:rPr>
        <w:t>-së</w:t>
      </w:r>
      <w:r w:rsidRPr="00EA1CA4">
        <w:rPr>
          <w:b/>
          <w:iCs/>
          <w:color w:val="000000"/>
        </w:rPr>
        <w:t xml:space="preserve">: </w:t>
      </w:r>
      <w:r w:rsidRPr="00EA1CA4">
        <w:rPr>
          <w:iCs/>
          <w:color w:val="000000"/>
        </w:rPr>
        <w:t>Propozimi i vendit të Kosovës për F</w:t>
      </w:r>
      <w:bookmarkStart w:id="48" w:name="_Ref83047807"/>
      <w:r w:rsidR="0091605E" w:rsidRPr="00EA1CA4">
        <w:rPr>
          <w:iCs/>
          <w:color w:val="000000"/>
        </w:rPr>
        <w:t>G</w:t>
      </w:r>
      <w:r w:rsidRPr="00EA1CA4">
        <w:rPr>
          <w:rStyle w:val="FootnoteReference"/>
          <w:iCs/>
          <w:color w:val="000000"/>
        </w:rPr>
        <w:footnoteReference w:id="45"/>
      </w:r>
      <w:bookmarkEnd w:id="48"/>
      <w:r w:rsidRPr="00EA1CA4">
        <w:rPr>
          <w:iCs/>
          <w:color w:val="000000"/>
        </w:rPr>
        <w:t xml:space="preserve"> dhe Plani i Tranzicionit dhe Qëndrueshmërisë për HIV</w:t>
      </w:r>
      <w:r w:rsidR="0091605E" w:rsidRPr="00EA1CA4">
        <w:rPr>
          <w:iCs/>
          <w:color w:val="000000"/>
        </w:rPr>
        <w:t>dhe</w:t>
      </w:r>
      <w:r w:rsidRPr="00EA1CA4">
        <w:rPr>
          <w:iCs/>
          <w:color w:val="000000"/>
        </w:rPr>
        <w:t>TB për Kosovën sipas Objektivit 8</w:t>
      </w:r>
      <w:bookmarkStart w:id="49" w:name="_Ref82538138"/>
      <w:r w:rsidRPr="00EA1CA4">
        <w:rPr>
          <w:rStyle w:val="FootnoteReference"/>
          <w:iCs/>
          <w:color w:val="000000"/>
        </w:rPr>
        <w:footnoteReference w:id="46"/>
      </w:r>
      <w:bookmarkEnd w:id="49"/>
      <w:r w:rsidRPr="00EA1CA4">
        <w:rPr>
          <w:iCs/>
          <w:color w:val="000000"/>
        </w:rPr>
        <w:t xml:space="preserve"> kanë identifikuar disa mangësi të mëdha në funksionimin e sistemit të laboratorit të TB</w:t>
      </w:r>
      <w:r w:rsidR="0091605E" w:rsidRPr="00EA1CA4">
        <w:rPr>
          <w:iCs/>
          <w:color w:val="000000"/>
        </w:rPr>
        <w:t>-së</w:t>
      </w:r>
      <w:r w:rsidRPr="00EA1CA4">
        <w:rPr>
          <w:iCs/>
          <w:color w:val="000000"/>
        </w:rPr>
        <w:t xml:space="preserve">. Aktualisht Kosova ka tri makina Xpert </w:t>
      </w:r>
      <w:r w:rsidR="0091605E" w:rsidRPr="00EA1CA4">
        <w:rPr>
          <w:iCs/>
          <w:color w:val="000000"/>
        </w:rPr>
        <w:t xml:space="preserve">që janë </w:t>
      </w:r>
      <w:r w:rsidRPr="00EA1CA4">
        <w:rPr>
          <w:iCs/>
          <w:color w:val="000000"/>
        </w:rPr>
        <w:t xml:space="preserve">funksionale, në </w:t>
      </w:r>
      <w:r w:rsidR="0091605E" w:rsidRPr="00EA1CA4">
        <w:rPr>
          <w:iCs/>
          <w:color w:val="000000"/>
        </w:rPr>
        <w:t>LKR</w:t>
      </w:r>
      <w:r w:rsidRPr="00EA1CA4">
        <w:rPr>
          <w:iCs/>
          <w:color w:val="000000"/>
        </w:rPr>
        <w:t xml:space="preserve"> Prishtinë, në Spitalin Rajonal të Pejës/Laboratori i Klinikës MDR dhe ISHP-në Rajonale të Prizrenit. Në vitin 2021/22, </w:t>
      </w:r>
      <w:r w:rsidR="0091605E" w:rsidRPr="00EA1CA4">
        <w:rPr>
          <w:iCs/>
          <w:color w:val="000000"/>
        </w:rPr>
        <w:t xml:space="preserve">do të blihen </w:t>
      </w:r>
      <w:r w:rsidRPr="00EA1CA4">
        <w:rPr>
          <w:iCs/>
          <w:color w:val="000000"/>
        </w:rPr>
        <w:t xml:space="preserve">makina shtesë GX përmes grantit të fondit </w:t>
      </w:r>
      <w:r w:rsidR="0091605E" w:rsidRPr="00EA1CA4">
        <w:rPr>
          <w:iCs/>
          <w:color w:val="000000"/>
        </w:rPr>
        <w:t>F</w:t>
      </w:r>
      <w:r w:rsidRPr="00EA1CA4">
        <w:rPr>
          <w:iCs/>
          <w:color w:val="000000"/>
        </w:rPr>
        <w:t>G, për të zgjeruar disponueshmërinë e testimit GX në Ferizaj, Prishtinë, Gjilan dhe Mitrovicë</w:t>
      </w:r>
      <w:r w:rsidRPr="00EA1CA4">
        <w:rPr>
          <w:bCs/>
          <w:iCs/>
        </w:rPr>
        <w:t>.</w:t>
      </w:r>
      <w:r w:rsidR="002343B9" w:rsidRPr="00EA1CA4">
        <w:fldChar w:fldCharType="begin"/>
      </w:r>
      <w:r w:rsidRPr="00EA1CA4">
        <w:instrText xml:space="preserve"> NOTEREF _Ref83047807 \f \h  \* MERGEFORMAT </w:instrText>
      </w:r>
      <w:r w:rsidR="002343B9" w:rsidRPr="00EA1CA4">
        <w:fldChar w:fldCharType="separate"/>
      </w:r>
      <w:r w:rsidR="00DD5916" w:rsidRPr="00EA1CA4">
        <w:rPr>
          <w:rStyle w:val="FootnoteReference"/>
        </w:rPr>
        <w:t>47</w:t>
      </w:r>
      <w:r w:rsidR="002343B9" w:rsidRPr="00EA1CA4">
        <w:fldChar w:fldCharType="end"/>
      </w:r>
    </w:p>
    <w:p w:rsidR="00E90EA1" w:rsidRPr="00EA1CA4" w:rsidRDefault="00E90EA1" w:rsidP="00624E04">
      <w:pPr>
        <w:spacing w:line="276" w:lineRule="auto"/>
        <w:jc w:val="both"/>
        <w:rPr>
          <w:bCs/>
          <w:iCs/>
          <w:color w:val="000000"/>
        </w:rPr>
      </w:pPr>
      <w:r w:rsidRPr="00EA1CA4">
        <w:rPr>
          <w:b/>
          <w:bCs/>
          <w:color w:val="000000"/>
        </w:rPr>
        <w:t xml:space="preserve">Sistemi i grumbullimit dhe transportit të materialeve laboratorike funksionon </w:t>
      </w:r>
      <w:r w:rsidR="0091605E" w:rsidRPr="00EA1CA4">
        <w:rPr>
          <w:b/>
          <w:bCs/>
          <w:color w:val="000000"/>
        </w:rPr>
        <w:t>dobët</w:t>
      </w:r>
      <w:r w:rsidR="00D75ED6">
        <w:fldChar w:fldCharType="begin"/>
      </w:r>
      <w:r w:rsidR="00D75ED6">
        <w:instrText xml:space="preserve"> NOTEREF _Ref82538138 \f \h  \* MERGEFORMAT </w:instrText>
      </w:r>
      <w:r w:rsidR="00D75ED6">
        <w:fldChar w:fldCharType="separate"/>
      </w:r>
      <w:r w:rsidR="00DD5916" w:rsidRPr="00EA1CA4">
        <w:rPr>
          <w:rStyle w:val="FootnoteReference"/>
        </w:rPr>
        <w:t>48</w:t>
      </w:r>
      <w:r w:rsidR="00D75ED6">
        <w:fldChar w:fldCharType="end"/>
      </w:r>
      <w:r w:rsidRPr="00EA1CA4">
        <w:rPr>
          <w:b/>
          <w:bCs/>
          <w:color w:val="000000"/>
        </w:rPr>
        <w:t xml:space="preserve">: </w:t>
      </w:r>
      <w:r w:rsidRPr="00EA1CA4">
        <w:t xml:space="preserve">Algoritmi laboratorik diagnostik i Kosovës bazohet në rastet e dyshuara të TB “Xpert për të gjithë”, por problemi kryesor është mbledhja dhe transportimi i mostrave të </w:t>
      </w:r>
      <w:r w:rsidR="0091605E" w:rsidRPr="00EA1CA4">
        <w:t>sputum-it</w:t>
      </w:r>
      <w:r w:rsidRPr="00EA1CA4">
        <w:t xml:space="preserve">. Mekanizmi i vendosur për transportin e materialeve bakteriologjike për barnat e linjës së dytë të </w:t>
      </w:r>
      <w:r w:rsidR="00000E73" w:rsidRPr="00EA1CA4">
        <w:t>TND-</w:t>
      </w:r>
      <w:r w:rsidRPr="00EA1CA4">
        <w:t xml:space="preserve">TB-së në </w:t>
      </w:r>
      <w:r w:rsidR="00000E73" w:rsidRPr="00EA1CA4">
        <w:t>LRMK</w:t>
      </w:r>
      <w:r w:rsidRPr="00EA1CA4">
        <w:t xml:space="preserve"> </w:t>
      </w:r>
      <w:r w:rsidR="00000E73" w:rsidRPr="00EA1CA4">
        <w:t>t</w:t>
      </w:r>
      <w:r w:rsidRPr="00EA1CA4">
        <w:t>ë Milano</w:t>
      </w:r>
      <w:r w:rsidR="00000E73" w:rsidRPr="00EA1CA4">
        <w:t>s</w:t>
      </w:r>
      <w:r w:rsidRPr="00EA1CA4">
        <w:t xml:space="preserve"> është hequr aktualisht për shkak të shërbimit të kufizuar ndërkombëtar të korrierëve të transportit për materiale të rrezikshme m</w:t>
      </w:r>
      <w:r w:rsidR="00000E73" w:rsidRPr="00EA1CA4">
        <w:t>edicinale</w:t>
      </w:r>
      <w:r w:rsidRPr="00EA1CA4">
        <w:t xml:space="preserve">. Kështu, mjetet e reja dhe të qëndrueshme për transportin e këtyre materialeve në </w:t>
      </w:r>
      <w:r w:rsidR="00000E73" w:rsidRPr="00EA1CA4">
        <w:t>LRMK</w:t>
      </w:r>
      <w:r w:rsidRPr="00EA1CA4">
        <w:t xml:space="preserve"> duhet të identifikohen dhe të bëhen funksionale. Gjatë vitit </w:t>
      </w:r>
      <w:r w:rsidRPr="00EA1CA4">
        <w:lastRenderedPageBreak/>
        <w:t xml:space="preserve">2021 </w:t>
      </w:r>
      <w:r w:rsidR="00000E73" w:rsidRPr="00EA1CA4">
        <w:t>LKR</w:t>
      </w:r>
      <w:r w:rsidRPr="00EA1CA4">
        <w:t xml:space="preserve"> planifikon të </w:t>
      </w:r>
      <w:r w:rsidR="00000E73" w:rsidRPr="00EA1CA4">
        <w:t xml:space="preserve">fillojë të aplikojë </w:t>
      </w:r>
      <w:r w:rsidRPr="00EA1CA4">
        <w:t>testimin LiPA</w:t>
      </w:r>
      <w:r w:rsidR="00000E73" w:rsidRPr="00EA1CA4">
        <w:t>,</w:t>
      </w:r>
      <w:r w:rsidRPr="00EA1CA4">
        <w:t xml:space="preserve"> dhe të zgjerojë kapacitetet e testimit të laboratorit të TB</w:t>
      </w:r>
      <w:r w:rsidR="00000E73" w:rsidRPr="00EA1CA4">
        <w:t>-së</w:t>
      </w:r>
      <w:r w:rsidRPr="00EA1CA4">
        <w:rPr>
          <w:bCs/>
          <w:iCs/>
          <w:color w:val="000000"/>
        </w:rPr>
        <w:t>.</w:t>
      </w:r>
    </w:p>
    <w:p w:rsidR="00E90EA1" w:rsidRPr="00EA1CA4" w:rsidRDefault="00E90EA1" w:rsidP="00624E04">
      <w:pPr>
        <w:spacing w:line="276" w:lineRule="auto"/>
        <w:jc w:val="both"/>
      </w:pPr>
      <w:r w:rsidRPr="00EA1CA4">
        <w:rPr>
          <w:b/>
        </w:rPr>
        <w:t>Rritja e kapacitet</w:t>
      </w:r>
      <w:r w:rsidR="00000E73" w:rsidRPr="00EA1CA4">
        <w:rPr>
          <w:b/>
        </w:rPr>
        <w:t>eve l</w:t>
      </w:r>
      <w:r w:rsidRPr="00EA1CA4">
        <w:rPr>
          <w:b/>
        </w:rPr>
        <w:t>aboratori</w:t>
      </w:r>
      <w:r w:rsidR="00000E73" w:rsidRPr="00EA1CA4">
        <w:rPr>
          <w:b/>
        </w:rPr>
        <w:t xml:space="preserve">ke </w:t>
      </w:r>
      <w:r w:rsidRPr="00EA1CA4">
        <w:rPr>
          <w:b/>
        </w:rPr>
        <w:t>të TB-së</w:t>
      </w:r>
      <w:r w:rsidR="00000E73" w:rsidRPr="00EA1CA4">
        <w:rPr>
          <w:b/>
        </w:rPr>
        <w:t>,</w:t>
      </w:r>
      <w:r w:rsidRPr="00EA1CA4">
        <w:rPr>
          <w:b/>
        </w:rPr>
        <w:t xml:space="preserve"> duke </w:t>
      </w:r>
      <w:r w:rsidR="00000E73" w:rsidRPr="00EA1CA4">
        <w:rPr>
          <w:b/>
        </w:rPr>
        <w:t xml:space="preserve">aplikuar </w:t>
      </w:r>
      <w:r w:rsidRPr="00EA1CA4">
        <w:rPr>
          <w:b/>
        </w:rPr>
        <w:t xml:space="preserve">metoda të reja diagnostikuese, duke zhvilluar </w:t>
      </w:r>
      <w:r w:rsidR="00000E73" w:rsidRPr="00EA1CA4">
        <w:rPr>
          <w:b/>
        </w:rPr>
        <w:t xml:space="preserve">shërbime </w:t>
      </w:r>
      <w:r w:rsidRPr="00EA1CA4">
        <w:rPr>
          <w:b/>
        </w:rPr>
        <w:t>diagnostik</w:t>
      </w:r>
      <w:r w:rsidR="00000E73" w:rsidRPr="00EA1CA4">
        <w:rPr>
          <w:b/>
        </w:rPr>
        <w:t xml:space="preserve">uese </w:t>
      </w:r>
      <w:r w:rsidRPr="00EA1CA4">
        <w:rPr>
          <w:b/>
        </w:rPr>
        <w:t xml:space="preserve">M/XDR-TB dhe duke </w:t>
      </w:r>
      <w:r w:rsidR="00000E73" w:rsidRPr="00EA1CA4">
        <w:rPr>
          <w:b/>
        </w:rPr>
        <w:t>s</w:t>
      </w:r>
      <w:r w:rsidRPr="00EA1CA4">
        <w:rPr>
          <w:b/>
        </w:rPr>
        <w:t>iguruar cilësi</w:t>
      </w:r>
      <w:r w:rsidR="00000E73" w:rsidRPr="00EA1CA4">
        <w:rPr>
          <w:b/>
        </w:rPr>
        <w:t xml:space="preserve"> në </w:t>
      </w:r>
      <w:r w:rsidRPr="00EA1CA4">
        <w:rPr>
          <w:b/>
        </w:rPr>
        <w:t>shërbime</w:t>
      </w:r>
      <w:r w:rsidR="00000E73" w:rsidRPr="00EA1CA4">
        <w:rPr>
          <w:b/>
        </w:rPr>
        <w:t>t</w:t>
      </w:r>
      <w:r w:rsidRPr="00EA1CA4">
        <w:rPr>
          <w:b/>
        </w:rPr>
        <w:t xml:space="preserve"> laboratorike:  </w:t>
      </w:r>
      <w:r w:rsidRPr="00EA1CA4">
        <w:t xml:space="preserve">Do të zhvillohet dhe zbatohet strategjia </w:t>
      </w:r>
      <w:r w:rsidR="00000E73" w:rsidRPr="00EA1CA4">
        <w:t xml:space="preserve">për </w:t>
      </w:r>
      <w:r w:rsidRPr="00EA1CA4">
        <w:t>laboratori</w:t>
      </w:r>
      <w:r w:rsidR="00000E73" w:rsidRPr="00EA1CA4">
        <w:t>n e</w:t>
      </w:r>
      <w:r w:rsidRPr="00EA1CA4">
        <w:t xml:space="preserve"> TB</w:t>
      </w:r>
      <w:r w:rsidR="00000E73" w:rsidRPr="00EA1CA4">
        <w:t>-së</w:t>
      </w:r>
      <w:r w:rsidRPr="00EA1CA4">
        <w:t xml:space="preserve">; </w:t>
      </w:r>
      <w:r w:rsidR="00000E73" w:rsidRPr="00EA1CA4">
        <w:t>a</w:t>
      </w:r>
      <w:r w:rsidRPr="00EA1CA4">
        <w:t>lgoritmet ekzistuese diagnostikuese do të rishikohen dhe do të përputhen me rekomandimet më të fundit të OBSH-së. Do të zhvillohen udhëzime dhe procedura standarde operative (PSO) për diagnostikim</w:t>
      </w:r>
      <w:r w:rsidR="00000E73" w:rsidRPr="00EA1CA4">
        <w:t>et</w:t>
      </w:r>
      <w:r w:rsidRPr="00EA1CA4">
        <w:t xml:space="preserve"> ekzistues</w:t>
      </w:r>
      <w:r w:rsidR="00000E73" w:rsidRPr="00EA1CA4">
        <w:t>e</w:t>
      </w:r>
      <w:r w:rsidRPr="00EA1CA4">
        <w:t xml:space="preserve"> dhe të r</w:t>
      </w:r>
      <w:r w:rsidR="00000E73" w:rsidRPr="00EA1CA4">
        <w:t xml:space="preserve">eja </w:t>
      </w:r>
      <w:r w:rsidRPr="00EA1CA4">
        <w:t>laboratorik</w:t>
      </w:r>
      <w:r w:rsidR="00000E73" w:rsidRPr="00EA1CA4">
        <w:t>e</w:t>
      </w:r>
      <w:r w:rsidRPr="00EA1CA4">
        <w:t xml:space="preserve">. Ndërhyrjet për ngritjen e kapaciteteve të stafit të laboratorit do të zbatohen për të garantuar standardizimin e metodave të reja diagnostikuese në përputhje me PSO-të e miratuara. </w:t>
      </w:r>
    </w:p>
    <w:p w:rsidR="00E90EA1" w:rsidRPr="00EA1CA4" w:rsidRDefault="00E90EA1" w:rsidP="00624E04">
      <w:pPr>
        <w:spacing w:line="276" w:lineRule="auto"/>
        <w:jc w:val="both"/>
      </w:pPr>
      <w:r w:rsidRPr="00EA1CA4">
        <w:t>Për të forcuar kapacitet</w:t>
      </w:r>
      <w:r w:rsidR="00037D8D" w:rsidRPr="00EA1CA4">
        <w:t xml:space="preserve">et </w:t>
      </w:r>
      <w:r w:rsidRPr="00EA1CA4">
        <w:t>laboratorik</w:t>
      </w:r>
      <w:r w:rsidR="00037D8D" w:rsidRPr="00EA1CA4">
        <w:t>e</w:t>
      </w:r>
      <w:r w:rsidRPr="00EA1CA4">
        <w:t xml:space="preserve"> të TB-së, duke përfshirë atë për diagnostikimin e TB-së ekstra</w:t>
      </w:r>
      <w:r w:rsidR="00000E73" w:rsidRPr="00EA1CA4">
        <w:t>-</w:t>
      </w:r>
      <w:r w:rsidRPr="00EA1CA4">
        <w:t xml:space="preserve">pulmonare (EPTB) dhe një funksionim të pandërprerë të makinerive GeneXpert, do të sigurohet HAIN, MGIT dhe LiPA. Materialet </w:t>
      </w:r>
      <w:r w:rsidR="00000E73" w:rsidRPr="00EA1CA4">
        <w:t xml:space="preserve">shpenzuese </w:t>
      </w:r>
      <w:r w:rsidRPr="00EA1CA4">
        <w:t xml:space="preserve">laboratorike dhe </w:t>
      </w:r>
      <w:r w:rsidR="00037D8D" w:rsidRPr="00EA1CA4">
        <w:t>kartrigjat</w:t>
      </w:r>
      <w:r w:rsidRPr="00EA1CA4">
        <w:t xml:space="preserve"> do të prokurohen dhe mirëmbajtja e pajisjeve do të sigurohet sipas nevojës. Përveç kësaj, për diagnostikimin e TB-së ekstra-pulmonare (efuzionet pleural</w:t>
      </w:r>
      <w:r w:rsidR="00037D8D" w:rsidRPr="00EA1CA4">
        <w:t>e</w:t>
      </w:r>
      <w:r w:rsidRPr="00EA1CA4">
        <w:t xml:space="preserve">) Programi i TB synon të </w:t>
      </w:r>
      <w:r w:rsidR="00037D8D" w:rsidRPr="00EA1CA4">
        <w:t>fillojë me aplikimin e</w:t>
      </w:r>
      <w:r w:rsidRPr="00EA1CA4">
        <w:t xml:space="preserve"> testimi</w:t>
      </w:r>
      <w:r w:rsidR="00037D8D" w:rsidRPr="00EA1CA4">
        <w:t>t</w:t>
      </w:r>
      <w:r w:rsidRPr="00EA1CA4">
        <w:t xml:space="preserve"> </w:t>
      </w:r>
      <w:r w:rsidR="00037D8D" w:rsidRPr="00EA1CA4">
        <w:t>të</w:t>
      </w:r>
      <w:r w:rsidRPr="00EA1CA4">
        <w:t xml:space="preserve"> adenozinë de</w:t>
      </w:r>
      <w:r w:rsidR="00000E73" w:rsidRPr="00EA1CA4">
        <w:t>-</w:t>
      </w:r>
      <w:r w:rsidRPr="00EA1CA4">
        <w:t>aminazës (ADA).</w:t>
      </w:r>
    </w:p>
    <w:p w:rsidR="00E90EA1" w:rsidRPr="00EA1CA4" w:rsidRDefault="00E90EA1" w:rsidP="00624E04">
      <w:pPr>
        <w:spacing w:line="276" w:lineRule="auto"/>
        <w:jc w:val="both"/>
      </w:pPr>
      <w:r w:rsidRPr="00EA1CA4">
        <w:t>Për të monitoruar dhe përmirësuar cilësinë e shërbimeve laboratorike të TB-së, do të vendoset një sistem i Sigurimit të Jashtëm të Cilësisë (EQA). Vizitat mbikëqyrëse për monitorimin e mikroskopisë së njollosjes janë planifikuar, zbatuar dhe do të vazhdojnë</w:t>
      </w:r>
      <w:r w:rsidR="00D75ED6">
        <w:fldChar w:fldCharType="begin"/>
      </w:r>
      <w:r w:rsidR="00D75ED6">
        <w:instrText xml:space="preserve"> NOTEREF _Re</w:instrText>
      </w:r>
      <w:r w:rsidR="00D75ED6">
        <w:instrText xml:space="preserve">f82439528 \f \h  \* MERGEFORMAT </w:instrText>
      </w:r>
      <w:r w:rsidR="00D75ED6">
        <w:fldChar w:fldCharType="separate"/>
      </w:r>
      <w:r w:rsidR="00DD5916" w:rsidRPr="00EA1CA4">
        <w:t>11</w:t>
      </w:r>
      <w:r w:rsidR="00D75ED6">
        <w:fldChar w:fldCharType="end"/>
      </w:r>
      <w:r w:rsidRPr="00EA1CA4">
        <w:t xml:space="preserve">. Do të bëhen përpjekje për të përmirësuar ndjeshëm sistemin e regjistrimit dhe raportimit për laboratorët, duke përfshirë sistemet e bazuara në </w:t>
      </w:r>
      <w:r w:rsidR="00037D8D" w:rsidRPr="00EA1CA4">
        <w:t xml:space="preserve">kopje fizike </w:t>
      </w:r>
      <w:r w:rsidRPr="00EA1CA4">
        <w:t xml:space="preserve">dhe ato elektronike. </w:t>
      </w:r>
      <w:r w:rsidR="00037D8D" w:rsidRPr="00EA1CA4">
        <w:t>Do të forcohet s</w:t>
      </w:r>
      <w:r w:rsidRPr="00EA1CA4">
        <w:t xml:space="preserve">istemi i mbikëqyrjes së rezistencës ndaj </w:t>
      </w:r>
      <w:r w:rsidR="00037D8D" w:rsidRPr="00EA1CA4">
        <w:t>barnave</w:t>
      </w:r>
      <w:r w:rsidRPr="00EA1CA4">
        <w:t xml:space="preserve">. </w:t>
      </w:r>
    </w:p>
    <w:p w:rsidR="00E90EA1" w:rsidRPr="00EA1CA4" w:rsidRDefault="00E90EA1" w:rsidP="00624E04">
      <w:pPr>
        <w:spacing w:line="276" w:lineRule="auto"/>
        <w:jc w:val="both"/>
      </w:pPr>
      <w:r w:rsidRPr="00EA1CA4">
        <w:t xml:space="preserve">Gjatë ciklit të ardhshëm strategjik, </w:t>
      </w:r>
      <w:r w:rsidR="00037D8D" w:rsidRPr="00EA1CA4">
        <w:t>PKKTB</w:t>
      </w:r>
      <w:r w:rsidRPr="00EA1CA4">
        <w:t xml:space="preserve"> synon të forcojë kapacitetet e Laboratorit Kombëtar të Referencës (</w:t>
      </w:r>
      <w:r w:rsidR="00037D8D" w:rsidRPr="00EA1CA4">
        <w:t xml:space="preserve">duke </w:t>
      </w:r>
      <w:r w:rsidRPr="00EA1CA4">
        <w:t>përfshirë burimet njerëzore, hapësir</w:t>
      </w:r>
      <w:r w:rsidR="00037D8D" w:rsidRPr="00EA1CA4">
        <w:t>at</w:t>
      </w:r>
      <w:r w:rsidRPr="00EA1CA4">
        <w:t xml:space="preserve">, pajisjet, menaxhimin operacional të laboratorit, etj.). Janë parashikuar të paktën dy trajnime në vit për dy </w:t>
      </w:r>
      <w:r w:rsidR="00037D8D" w:rsidRPr="00EA1CA4">
        <w:t>pjesëtarë të stafit</w:t>
      </w:r>
      <w:r w:rsidRPr="00EA1CA4">
        <w:t xml:space="preserve">. Trajnimet për LIPA dhe NGS (sekuenca e gjeneratës së ardhshme) duhet të kenë prioritet. </w:t>
      </w:r>
    </w:p>
    <w:p w:rsidR="00E90EA1" w:rsidRPr="00EA1CA4" w:rsidRDefault="00E90EA1" w:rsidP="00624E04">
      <w:pPr>
        <w:spacing w:line="276" w:lineRule="auto"/>
        <w:jc w:val="both"/>
      </w:pPr>
    </w:p>
    <w:p w:rsidR="00E90EA1" w:rsidRPr="00EA1CA4" w:rsidRDefault="00E90EA1" w:rsidP="00624E04">
      <w:pPr>
        <w:spacing w:line="276" w:lineRule="auto"/>
        <w:jc w:val="both"/>
        <w:rPr>
          <w:b/>
          <w:i/>
        </w:rPr>
      </w:pPr>
      <w:r w:rsidRPr="00EA1CA4">
        <w:rPr>
          <w:b/>
          <w:i/>
        </w:rPr>
        <w:t xml:space="preserve">Aktivitetet e planifikuara: </w:t>
      </w:r>
    </w:p>
    <w:p w:rsidR="00E90EA1" w:rsidRPr="00EA1CA4" w:rsidRDefault="00037D8D">
      <w:pPr>
        <w:pStyle w:val="ListParagraph"/>
        <w:numPr>
          <w:ilvl w:val="2"/>
          <w:numId w:val="6"/>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Rishikimi dhe përditësimi i strategjisë së laboratorit dhe algoritmit diagnostikues, duke </w:t>
      </w:r>
      <w:r w:rsidRPr="00EA1CA4">
        <w:rPr>
          <w:rFonts w:ascii="Times New Roman" w:hAnsi="Times New Roman"/>
          <w:sz w:val="24"/>
          <w:szCs w:val="24"/>
          <w:lang w:val="sq-AL"/>
        </w:rPr>
        <w:lastRenderedPageBreak/>
        <w:t>u bazuar në rekomandimet më të fundit të OBSH-së</w:t>
      </w:r>
    </w:p>
    <w:p w:rsidR="00E90EA1" w:rsidRPr="00EA1CA4" w:rsidRDefault="00037D8D">
      <w:pPr>
        <w:pStyle w:val="ListParagraph"/>
        <w:numPr>
          <w:ilvl w:val="2"/>
          <w:numId w:val="6"/>
        </w:numPr>
        <w:spacing w:before="120" w:after="120" w:line="276" w:lineRule="auto"/>
        <w:jc w:val="both"/>
        <w:rPr>
          <w:rFonts w:ascii="Times New Roman" w:hAnsi="Times New Roman"/>
          <w:bCs/>
          <w:iCs/>
          <w:color w:val="000000"/>
          <w:sz w:val="24"/>
          <w:szCs w:val="24"/>
          <w:lang w:val="sq-AL"/>
        </w:rPr>
      </w:pPr>
      <w:r w:rsidRPr="00EA1CA4">
        <w:rPr>
          <w:rFonts w:ascii="Times New Roman" w:hAnsi="Times New Roman"/>
          <w:sz w:val="24"/>
          <w:szCs w:val="24"/>
          <w:lang w:val="sq-AL"/>
        </w:rPr>
        <w:t>Zgjerimi i kapaciteteve laboratorike të TB-së në nivel qendror dhe rajonal, duke ndërtuar kapacitete njerëzore dhe të reja diagnostikuese, duke siguruar mirëmbajtje të rregullt dhe furnizim të vazhdueshëm dhe të pandërprerë të produkteve laboratorike thelbësore</w:t>
      </w:r>
      <w:r w:rsidR="00E90EA1" w:rsidRPr="00EA1CA4">
        <w:rPr>
          <w:rFonts w:ascii="Times New Roman" w:hAnsi="Times New Roman"/>
          <w:sz w:val="24"/>
          <w:szCs w:val="24"/>
          <w:lang w:val="sq-AL"/>
        </w:rPr>
        <w:t xml:space="preserve"> </w:t>
      </w:r>
    </w:p>
    <w:p w:rsidR="0081600A" w:rsidRPr="00EA1CA4" w:rsidRDefault="00037D8D">
      <w:pPr>
        <w:pStyle w:val="ListParagraph"/>
        <w:numPr>
          <w:ilvl w:val="2"/>
          <w:numId w:val="6"/>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Sigurimi i brendshëm dhe i jashtëm i përmirësuar i cilësisë (EQA) i shërbimeve laboratorike, duke përfshirë laboratorët që kryejnë mikroskopinë e njollosjes</w:t>
      </w:r>
    </w:p>
    <w:p w:rsidR="0081600A" w:rsidRPr="00EA1CA4" w:rsidRDefault="00037D8D">
      <w:pPr>
        <w:pStyle w:val="ListParagraph"/>
        <w:numPr>
          <w:ilvl w:val="2"/>
          <w:numId w:val="6"/>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Zgjerimi dhe rregullimi i sistemit të grumbullimit dhe transportit të sputumit</w:t>
      </w:r>
      <w:r w:rsidR="00E90EA1" w:rsidRPr="00EA1CA4">
        <w:rPr>
          <w:rFonts w:ascii="Times New Roman" w:hAnsi="Times New Roman"/>
          <w:bCs/>
          <w:iCs/>
          <w:color w:val="000000"/>
          <w:sz w:val="24"/>
          <w:szCs w:val="24"/>
          <w:lang w:val="sq-AL"/>
        </w:rPr>
        <w:t xml:space="preserve"> </w:t>
      </w:r>
    </w:p>
    <w:p w:rsidR="0081600A" w:rsidRPr="00EA1CA4" w:rsidRDefault="00037D8D">
      <w:pPr>
        <w:pStyle w:val="ListParagraph"/>
        <w:numPr>
          <w:ilvl w:val="2"/>
          <w:numId w:val="6"/>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Krijimi i mjeteve funksionale për transportin e materialeve bakteriologjike në LRMK në Milano</w:t>
      </w:r>
    </w:p>
    <w:p w:rsidR="0081600A" w:rsidRPr="00EA1CA4" w:rsidRDefault="00271632">
      <w:pPr>
        <w:pStyle w:val="ListParagraph"/>
        <w:numPr>
          <w:ilvl w:val="2"/>
          <w:numId w:val="6"/>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Krijimi dhe mirëmbajtja e një sistemi të regjistrimit dhe raportimit për laboratorët, duke përfshirë sistemet me kopje fizike dhe elektronike, duke përfshirë monitorimin e rezistencës ndaj barnave</w:t>
      </w:r>
    </w:p>
    <w:p w:rsidR="0081600A" w:rsidRPr="00EA1CA4" w:rsidRDefault="00E90EA1">
      <w:pPr>
        <w:pStyle w:val="ListParagraph"/>
        <w:numPr>
          <w:ilvl w:val="2"/>
          <w:numId w:val="6"/>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Përmirësimi i funksionalizimit të metodave diagnostikuese për </w:t>
      </w:r>
      <w:r w:rsidR="00271632" w:rsidRPr="00EA1CA4">
        <w:rPr>
          <w:rFonts w:ascii="Times New Roman" w:hAnsi="Times New Roman"/>
          <w:sz w:val="24"/>
          <w:szCs w:val="24"/>
          <w:lang w:val="sq-AL"/>
        </w:rPr>
        <w:t>TB-në</w:t>
      </w:r>
      <w:r w:rsidRPr="00EA1CA4">
        <w:rPr>
          <w:rFonts w:ascii="Times New Roman" w:hAnsi="Times New Roman"/>
          <w:sz w:val="24"/>
          <w:szCs w:val="24"/>
          <w:lang w:val="sq-AL"/>
        </w:rPr>
        <w:t xml:space="preserve"> ekstra</w:t>
      </w:r>
      <w:r w:rsidR="00271632" w:rsidRPr="00EA1CA4">
        <w:rPr>
          <w:rFonts w:ascii="Times New Roman" w:hAnsi="Times New Roman"/>
          <w:sz w:val="24"/>
          <w:szCs w:val="24"/>
          <w:lang w:val="sq-AL"/>
        </w:rPr>
        <w:t>-</w:t>
      </w:r>
      <w:r w:rsidRPr="00EA1CA4">
        <w:rPr>
          <w:rFonts w:ascii="Times New Roman" w:hAnsi="Times New Roman"/>
          <w:sz w:val="24"/>
          <w:szCs w:val="24"/>
          <w:lang w:val="sq-AL"/>
        </w:rPr>
        <w:t>pulmonar</w:t>
      </w:r>
      <w:r w:rsidR="00271632" w:rsidRPr="00EA1CA4">
        <w:rPr>
          <w:rFonts w:ascii="Times New Roman" w:hAnsi="Times New Roman"/>
          <w:sz w:val="24"/>
          <w:szCs w:val="24"/>
          <w:lang w:val="sq-AL"/>
        </w:rPr>
        <w:t>e</w:t>
      </w:r>
      <w:r w:rsidRPr="00EA1CA4">
        <w:rPr>
          <w:rFonts w:ascii="Times New Roman" w:hAnsi="Times New Roman"/>
          <w:sz w:val="24"/>
          <w:szCs w:val="24"/>
          <w:lang w:val="sq-AL"/>
        </w:rPr>
        <w:t xml:space="preserve"> (EPTB/ADA)</w:t>
      </w:r>
    </w:p>
    <w:p w:rsidR="00E90EA1" w:rsidRPr="00EA1CA4" w:rsidRDefault="00271632">
      <w:pPr>
        <w:pStyle w:val="ListParagraph"/>
        <w:numPr>
          <w:ilvl w:val="2"/>
          <w:numId w:val="6"/>
        </w:numPr>
        <w:spacing w:before="120" w:after="120" w:line="276" w:lineRule="auto"/>
        <w:jc w:val="both"/>
        <w:rPr>
          <w:rFonts w:ascii="Times New Roman" w:hAnsi="Times New Roman"/>
          <w:sz w:val="24"/>
          <w:szCs w:val="24"/>
          <w:lang w:val="sq-AL"/>
        </w:rPr>
      </w:pPr>
      <w:r w:rsidRPr="00EA1CA4">
        <w:rPr>
          <w:rFonts w:ascii="Times New Roman" w:hAnsi="Times New Roman"/>
          <w:bCs/>
          <w:iCs/>
          <w:color w:val="000000"/>
          <w:sz w:val="24"/>
          <w:szCs w:val="24"/>
          <w:lang w:val="sq-AL"/>
        </w:rPr>
        <w:t>Sigurimi i ndërhyrjeve për ngritjen e kapaciteteve të stafit laboratorik për: metodat e reja diagnostikuese, regjistrimin dhe raportimin të dhënave laboratorike për TB-në, mbledhjen dhe transportin e sputumit, ndërtimin e mbikëqyrjes së rezistencës ndaj barnave dhe sistemin e brendshëm dhe të jashtëm të vlerësimit të cilësisë përmes trajnimeve kombëtare dhe ndërkombëtare</w:t>
      </w:r>
      <w:r w:rsidR="00E90EA1" w:rsidRPr="00EA1CA4">
        <w:rPr>
          <w:rFonts w:ascii="Times New Roman" w:hAnsi="Times New Roman"/>
          <w:bCs/>
          <w:iCs/>
          <w:color w:val="000000"/>
          <w:sz w:val="24"/>
          <w:szCs w:val="24"/>
          <w:lang w:val="sq-AL"/>
        </w:rPr>
        <w:t xml:space="preserve">. </w:t>
      </w:r>
    </w:p>
    <w:p w:rsidR="00E90EA1" w:rsidRPr="00EA1CA4" w:rsidRDefault="00E90EA1" w:rsidP="00624E04">
      <w:pPr>
        <w:spacing w:line="276" w:lineRule="auto"/>
        <w:jc w:val="both"/>
        <w:rPr>
          <w:b/>
          <w:i/>
        </w:rPr>
      </w:pPr>
      <w:r w:rsidRPr="00EA1CA4">
        <w:rPr>
          <w:b/>
          <w:i/>
        </w:rPr>
        <w:t xml:space="preserve">Rezultatet e pritshme: </w:t>
      </w:r>
    </w:p>
    <w:p w:rsidR="00E90EA1" w:rsidRPr="00EA1CA4" w:rsidRDefault="00E90EA1">
      <w:pPr>
        <w:pStyle w:val="ListParagraph"/>
        <w:numPr>
          <w:ilvl w:val="0"/>
          <w:numId w:val="23"/>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Të gjithë laboratorët e TB-së i nënshtrohen vlerësimit të jashtëm të cilësisë dhe tregojnë performancë adekuate të shërbimeve të zbatuara të laboratorit të TB-së në fushën e tyre të punës.  </w:t>
      </w:r>
    </w:p>
    <w:p w:rsidR="00E90EA1" w:rsidRPr="00EA1CA4" w:rsidRDefault="00E90EA1">
      <w:pPr>
        <w:pStyle w:val="ListParagraph"/>
        <w:numPr>
          <w:ilvl w:val="0"/>
          <w:numId w:val="23"/>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Nuk raportohet asnjë rezervë e produkteve laboratorike/diagnostike (reagentë, fishekë, etj.) </w:t>
      </w:r>
    </w:p>
    <w:p w:rsidR="00E90EA1" w:rsidRPr="00EA1CA4" w:rsidRDefault="00E90EA1">
      <w:pPr>
        <w:pStyle w:val="ListParagraph"/>
        <w:numPr>
          <w:ilvl w:val="0"/>
          <w:numId w:val="23"/>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lastRenderedPageBreak/>
        <w:t xml:space="preserve">I gjithë stafi i laboratorit të TB i nënshtrohet aktiviteteve të rregullta dhe përkatëse të ngritjes së kapaciteteve / aktiviteteve të vazhdueshme të edukimit mjekësor të përshtatura me kërkesat e stafit të laboratorit të TB.  </w:t>
      </w:r>
    </w:p>
    <w:p w:rsidR="00E90EA1" w:rsidRPr="00EA1CA4" w:rsidRDefault="00E90EA1" w:rsidP="00624E04">
      <w:pPr>
        <w:spacing w:line="276" w:lineRule="auto"/>
        <w:jc w:val="both"/>
        <w:rPr>
          <w:b/>
        </w:rPr>
      </w:pPr>
      <w:r w:rsidRPr="00EA1CA4">
        <w:rPr>
          <w:b/>
        </w:rPr>
        <w:t>Rezultati 1.4 Përmirësimi i aktiviteteve bashkëpunuese për TB/HIV dhe kujdesit të integruar</w:t>
      </w:r>
    </w:p>
    <w:p w:rsidR="00E90EA1" w:rsidRPr="00EA1CA4" w:rsidRDefault="00E90EA1" w:rsidP="00624E04">
      <w:pPr>
        <w:spacing w:line="276" w:lineRule="auto"/>
        <w:jc w:val="both"/>
        <w:rPr>
          <w:b/>
        </w:rPr>
      </w:pPr>
    </w:p>
    <w:p w:rsidR="00E90EA1" w:rsidRPr="00EA1CA4" w:rsidRDefault="00E90EA1" w:rsidP="00624E04">
      <w:pPr>
        <w:spacing w:line="276" w:lineRule="auto"/>
        <w:jc w:val="both"/>
      </w:pPr>
      <w:r w:rsidRPr="00EA1CA4">
        <w:rPr>
          <w:b/>
          <w:i/>
        </w:rPr>
        <w:t xml:space="preserve">Zbatimi i aktiviteteve bashkëpunuese për TB/HIV: </w:t>
      </w:r>
      <w:r w:rsidRPr="00EA1CA4">
        <w:t xml:space="preserve">Aktualisht për shkak të prevalencës së ulët të HIV-it në vend, shanset që HIV të nxisë epideminë e TB-së janë të ulëta, por kjo mund të ndryshojë me një rritje margjinale të shkallës së sëmundshmërisë së HIV-it. Kështu, theksi do të vendoset në forcimin e bashkëpunimit dhe integrimit ndërmjet programeve kombëtare për TB dhe HIV. Siç u përmend më lart, marrja e testeve për HIV nga pacientët me TB mbetet e ulët. Ekzaminimi universal i HIV-it për të gjithë pacientët me TB do të sigurohet përmes zgjerimit të kapacitetit të testimit të HIV brenda shërbimeve laboratorike të TB-së. Do të krijohet një sistem efektiv referimi për të siguruar lidhjen e shpejtë të pacientëve me TB HIV pozitiv me shërbimet e duhura shëndetësore dhe sociale. Duhet të theksohet se sipas rekomandimeve të OBSH-së, të gjithë njerëzit që jetojnë me HIV duhet të kontrollohen për TB dhe t'u ofrohet trajtim parandalues për TB nëse testojnë TB-negativ. Strategjia e fundit ka qenë pjesë e Planit Strategjik Kombëtar për HIV. </w:t>
      </w:r>
    </w:p>
    <w:p w:rsidR="00FB336B" w:rsidRPr="00EA1CA4" w:rsidRDefault="00FB336B" w:rsidP="00624E04">
      <w:pPr>
        <w:spacing w:line="276" w:lineRule="auto"/>
        <w:jc w:val="both"/>
        <w:rPr>
          <w:b/>
          <w:i/>
        </w:rPr>
      </w:pPr>
    </w:p>
    <w:p w:rsidR="0081600A" w:rsidRPr="00EA1CA4" w:rsidRDefault="00E90EA1" w:rsidP="0081600A">
      <w:pPr>
        <w:spacing w:line="276" w:lineRule="auto"/>
        <w:jc w:val="both"/>
        <w:rPr>
          <w:b/>
          <w:i/>
        </w:rPr>
      </w:pPr>
      <w:r w:rsidRPr="00EA1CA4">
        <w:rPr>
          <w:b/>
          <w:i/>
        </w:rPr>
        <w:t xml:space="preserve">Aktivitetet e planifikuara: </w:t>
      </w:r>
    </w:p>
    <w:p w:rsidR="0081600A" w:rsidRPr="00EA1CA4" w:rsidRDefault="0081600A" w:rsidP="0081600A">
      <w:pPr>
        <w:spacing w:line="276" w:lineRule="auto"/>
        <w:jc w:val="both"/>
        <w:rPr>
          <w:b/>
          <w:i/>
        </w:rPr>
      </w:pPr>
    </w:p>
    <w:p w:rsidR="0081600A" w:rsidRPr="00EA1CA4" w:rsidRDefault="00E90EA1">
      <w:pPr>
        <w:pStyle w:val="ListParagraph"/>
        <w:numPr>
          <w:ilvl w:val="2"/>
          <w:numId w:val="32"/>
        </w:numPr>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 xml:space="preserve">Forcimi i bashkëpunimit </w:t>
      </w:r>
      <w:r w:rsidR="00FB336B" w:rsidRPr="00EA1CA4">
        <w:rPr>
          <w:rFonts w:ascii="Times New Roman" w:hAnsi="Times New Roman"/>
          <w:sz w:val="24"/>
          <w:szCs w:val="24"/>
          <w:lang w:val="sq-AL"/>
        </w:rPr>
        <w:t>midis p</w:t>
      </w:r>
      <w:r w:rsidRPr="00EA1CA4">
        <w:rPr>
          <w:rFonts w:ascii="Times New Roman" w:hAnsi="Times New Roman"/>
          <w:sz w:val="24"/>
          <w:szCs w:val="24"/>
          <w:lang w:val="sq-AL"/>
        </w:rPr>
        <w:t>rogrameve kombëtare të Tuberkulozit dhe HIV</w:t>
      </w:r>
    </w:p>
    <w:p w:rsidR="0081600A" w:rsidRPr="00EA1CA4" w:rsidRDefault="00E90EA1">
      <w:pPr>
        <w:pStyle w:val="ListParagraph"/>
        <w:numPr>
          <w:ilvl w:val="2"/>
          <w:numId w:val="32"/>
        </w:numPr>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Rritja e testimit të HIV për të gjithë pacientët me tuberkuloz</w:t>
      </w:r>
      <w:r w:rsidR="00FB336B" w:rsidRPr="00EA1CA4">
        <w:rPr>
          <w:rFonts w:ascii="Times New Roman" w:hAnsi="Times New Roman"/>
          <w:sz w:val="24"/>
          <w:szCs w:val="24"/>
          <w:lang w:val="sq-AL"/>
        </w:rPr>
        <w:t>,</w:t>
      </w:r>
      <w:r w:rsidRPr="00EA1CA4">
        <w:rPr>
          <w:rFonts w:ascii="Times New Roman" w:hAnsi="Times New Roman"/>
          <w:sz w:val="24"/>
          <w:szCs w:val="24"/>
          <w:lang w:val="sq-AL"/>
        </w:rPr>
        <w:t xml:space="preserve"> duke synuar arritjen e testimit universal për HIV duke forcuar kapacitetin e stafit të laboratorit të TB për testimin e HIV</w:t>
      </w:r>
    </w:p>
    <w:p w:rsidR="00E90EA1" w:rsidRPr="00EA1CA4" w:rsidRDefault="00E90EA1">
      <w:pPr>
        <w:pStyle w:val="ListParagraph"/>
        <w:numPr>
          <w:ilvl w:val="2"/>
          <w:numId w:val="32"/>
        </w:numPr>
        <w:spacing w:line="276" w:lineRule="auto"/>
        <w:jc w:val="both"/>
        <w:rPr>
          <w:rFonts w:ascii="Times New Roman" w:hAnsi="Times New Roman"/>
          <w:b/>
          <w:i/>
          <w:sz w:val="24"/>
          <w:szCs w:val="24"/>
          <w:lang w:val="it-IT"/>
        </w:rPr>
      </w:pPr>
      <w:r w:rsidRPr="00EA1CA4">
        <w:rPr>
          <w:rFonts w:ascii="Times New Roman" w:hAnsi="Times New Roman"/>
          <w:sz w:val="24"/>
          <w:szCs w:val="24"/>
          <w:lang w:val="sq-AL"/>
        </w:rPr>
        <w:t xml:space="preserve">Forcimi i menaxhimit të integruar për rastet e pacientëve me HIV/TB.  </w:t>
      </w:r>
    </w:p>
    <w:p w:rsidR="00E90EA1" w:rsidRPr="00EA1CA4" w:rsidRDefault="00E90EA1" w:rsidP="00624E04">
      <w:pPr>
        <w:spacing w:line="276" w:lineRule="auto"/>
        <w:jc w:val="both"/>
        <w:rPr>
          <w:b/>
          <w:i/>
          <w:lang w:eastAsia="zh-CN"/>
        </w:rPr>
      </w:pPr>
      <w:r w:rsidRPr="00EA1CA4">
        <w:rPr>
          <w:b/>
          <w:i/>
          <w:lang w:eastAsia="zh-CN"/>
        </w:rPr>
        <w:t>Rezultat</w:t>
      </w:r>
      <w:r w:rsidR="00FB336B" w:rsidRPr="00EA1CA4">
        <w:rPr>
          <w:b/>
          <w:i/>
          <w:lang w:eastAsia="zh-CN"/>
        </w:rPr>
        <w:t>et e</w:t>
      </w:r>
      <w:r w:rsidRPr="00EA1CA4">
        <w:rPr>
          <w:b/>
          <w:i/>
          <w:lang w:eastAsia="zh-CN"/>
        </w:rPr>
        <w:t xml:space="preserve"> pritshm</w:t>
      </w:r>
      <w:r w:rsidR="00FB336B" w:rsidRPr="00EA1CA4">
        <w:rPr>
          <w:b/>
          <w:i/>
          <w:lang w:eastAsia="zh-CN"/>
        </w:rPr>
        <w:t>e</w:t>
      </w:r>
    </w:p>
    <w:p w:rsidR="00E90EA1" w:rsidRPr="00EA1CA4" w:rsidRDefault="00E90EA1">
      <w:pPr>
        <w:pStyle w:val="ListParagraph"/>
        <w:numPr>
          <w:ilvl w:val="0"/>
          <w:numId w:val="21"/>
        </w:numPr>
        <w:spacing w:before="120" w:after="120" w:line="276" w:lineRule="auto"/>
        <w:jc w:val="both"/>
        <w:rPr>
          <w:rFonts w:ascii="Times New Roman" w:hAnsi="Times New Roman"/>
          <w:sz w:val="24"/>
          <w:szCs w:val="24"/>
          <w:lang w:val="sq-AL" w:eastAsia="zh-CN"/>
        </w:rPr>
      </w:pPr>
      <w:r w:rsidRPr="00EA1CA4">
        <w:rPr>
          <w:rFonts w:ascii="Times New Roman" w:hAnsi="Times New Roman"/>
          <w:sz w:val="24"/>
          <w:szCs w:val="24"/>
          <w:lang w:val="sq-AL" w:eastAsia="zh-CN"/>
        </w:rPr>
        <w:t xml:space="preserve">Përqindja e pacientëve të </w:t>
      </w:r>
      <w:r w:rsidR="00FB336B" w:rsidRPr="00EA1CA4">
        <w:rPr>
          <w:rFonts w:ascii="Times New Roman" w:hAnsi="Times New Roman"/>
          <w:sz w:val="24"/>
          <w:szCs w:val="24"/>
          <w:lang w:val="sq-AL" w:eastAsia="zh-CN"/>
        </w:rPr>
        <w:t xml:space="preserve">rinj të </w:t>
      </w:r>
      <w:r w:rsidRPr="00EA1CA4">
        <w:rPr>
          <w:rFonts w:ascii="Times New Roman" w:hAnsi="Times New Roman"/>
          <w:sz w:val="24"/>
          <w:szCs w:val="24"/>
          <w:lang w:val="sq-AL" w:eastAsia="zh-CN"/>
        </w:rPr>
        <w:t xml:space="preserve">regjistruar me TB dhe </w:t>
      </w:r>
      <w:r w:rsidR="00FB336B" w:rsidRPr="00EA1CA4">
        <w:rPr>
          <w:rFonts w:ascii="Times New Roman" w:hAnsi="Times New Roman"/>
          <w:sz w:val="24"/>
          <w:szCs w:val="24"/>
          <w:lang w:val="sq-AL" w:eastAsia="zh-CN"/>
        </w:rPr>
        <w:t>rasteve të përsëritjes</w:t>
      </w:r>
      <w:r w:rsidRPr="00EA1CA4">
        <w:rPr>
          <w:rFonts w:ascii="Times New Roman" w:hAnsi="Times New Roman"/>
          <w:sz w:val="24"/>
          <w:szCs w:val="24"/>
          <w:lang w:val="sq-AL" w:eastAsia="zh-CN"/>
        </w:rPr>
        <w:t xml:space="preserve"> me status të dokumentuar HIV </w:t>
      </w:r>
      <w:r w:rsidR="00FB336B" w:rsidRPr="00EA1CA4">
        <w:rPr>
          <w:rFonts w:ascii="Times New Roman" w:hAnsi="Times New Roman"/>
          <w:sz w:val="24"/>
          <w:szCs w:val="24"/>
          <w:lang w:val="sq-AL" w:eastAsia="zh-CN"/>
        </w:rPr>
        <w:lastRenderedPageBreak/>
        <w:t xml:space="preserve">është </w:t>
      </w:r>
      <w:r w:rsidRPr="00EA1CA4">
        <w:rPr>
          <w:rFonts w:ascii="Times New Roman" w:hAnsi="Times New Roman"/>
          <w:sz w:val="24"/>
          <w:szCs w:val="24"/>
          <w:lang w:val="sq-AL" w:eastAsia="zh-CN"/>
        </w:rPr>
        <w:t>rrit</w:t>
      </w:r>
      <w:r w:rsidR="00FB336B" w:rsidRPr="00EA1CA4">
        <w:rPr>
          <w:rFonts w:ascii="Times New Roman" w:hAnsi="Times New Roman"/>
          <w:sz w:val="24"/>
          <w:szCs w:val="24"/>
          <w:lang w:val="sq-AL" w:eastAsia="zh-CN"/>
        </w:rPr>
        <w:t>ur</w:t>
      </w:r>
      <w:r w:rsidRPr="00EA1CA4">
        <w:rPr>
          <w:rFonts w:ascii="Times New Roman" w:hAnsi="Times New Roman"/>
          <w:sz w:val="24"/>
          <w:szCs w:val="24"/>
          <w:lang w:val="sq-AL" w:eastAsia="zh-CN"/>
        </w:rPr>
        <w:t xml:space="preserve"> nga 40.18% në </w:t>
      </w:r>
      <w:r w:rsidR="00FB336B" w:rsidRPr="00EA1CA4">
        <w:rPr>
          <w:rFonts w:ascii="Times New Roman" w:hAnsi="Times New Roman"/>
          <w:sz w:val="24"/>
          <w:szCs w:val="24"/>
          <w:lang w:val="sq-AL" w:eastAsia="zh-CN"/>
        </w:rPr>
        <w:t xml:space="preserve">vitin </w:t>
      </w:r>
      <w:r w:rsidRPr="00EA1CA4">
        <w:rPr>
          <w:rFonts w:ascii="Times New Roman" w:hAnsi="Times New Roman"/>
          <w:sz w:val="24"/>
          <w:szCs w:val="24"/>
          <w:lang w:val="sq-AL" w:eastAsia="zh-CN"/>
        </w:rPr>
        <w:t xml:space="preserve">2020 në 75% në </w:t>
      </w:r>
      <w:r w:rsidR="00FB336B" w:rsidRPr="00EA1CA4">
        <w:rPr>
          <w:rFonts w:ascii="Times New Roman" w:hAnsi="Times New Roman"/>
          <w:sz w:val="24"/>
          <w:szCs w:val="24"/>
          <w:lang w:val="sq-AL" w:eastAsia="zh-CN"/>
        </w:rPr>
        <w:t xml:space="preserve">vitin </w:t>
      </w:r>
      <w:r w:rsidRPr="00EA1CA4">
        <w:rPr>
          <w:rFonts w:ascii="Times New Roman" w:hAnsi="Times New Roman"/>
          <w:sz w:val="24"/>
          <w:szCs w:val="24"/>
          <w:lang w:val="sq-AL" w:eastAsia="zh-CN"/>
        </w:rPr>
        <w:t>2024</w:t>
      </w:r>
      <w:r w:rsidRPr="00EA1CA4">
        <w:rPr>
          <w:rStyle w:val="FootnoteReference"/>
          <w:rFonts w:ascii="Times New Roman" w:hAnsi="Times New Roman"/>
          <w:sz w:val="24"/>
          <w:szCs w:val="24"/>
          <w:lang w:val="sq-AL" w:eastAsia="zh-CN"/>
        </w:rPr>
        <w:footnoteReference w:id="47"/>
      </w:r>
      <w:r w:rsidRPr="00EA1CA4">
        <w:rPr>
          <w:rFonts w:ascii="Times New Roman" w:hAnsi="Times New Roman"/>
          <w:sz w:val="24"/>
          <w:szCs w:val="24"/>
          <w:vertAlign w:val="superscript"/>
          <w:lang w:val="sq-AL" w:eastAsia="zh-CN"/>
        </w:rPr>
        <w:t>;</w:t>
      </w:r>
      <w:r w:rsidRPr="00EA1CA4">
        <w:rPr>
          <w:rStyle w:val="FootnoteReference"/>
          <w:rFonts w:ascii="Times New Roman" w:hAnsi="Times New Roman"/>
          <w:sz w:val="24"/>
          <w:szCs w:val="24"/>
          <w:lang w:val="sq-AL" w:eastAsia="zh-CN"/>
        </w:rPr>
        <w:footnoteReference w:id="48"/>
      </w:r>
    </w:p>
    <w:p w:rsidR="00E90EA1" w:rsidRPr="00EA1CA4" w:rsidRDefault="00E90EA1">
      <w:pPr>
        <w:pStyle w:val="ListParagraph"/>
        <w:numPr>
          <w:ilvl w:val="0"/>
          <w:numId w:val="21"/>
        </w:numPr>
        <w:spacing w:before="120" w:after="120" w:line="276" w:lineRule="auto"/>
        <w:jc w:val="both"/>
        <w:rPr>
          <w:rFonts w:ascii="Times New Roman" w:hAnsi="Times New Roman"/>
          <w:sz w:val="24"/>
          <w:szCs w:val="24"/>
          <w:lang w:val="sq-AL" w:eastAsia="zh-CN"/>
        </w:rPr>
      </w:pPr>
      <w:r w:rsidRPr="00EA1CA4">
        <w:rPr>
          <w:rFonts w:ascii="Times New Roman" w:hAnsi="Times New Roman"/>
          <w:sz w:val="24"/>
          <w:szCs w:val="24"/>
          <w:lang w:val="sq-AL" w:eastAsia="zh-CN"/>
        </w:rPr>
        <w:t xml:space="preserve">Përmirësimi i shkallës së regjistrimit në trajtimin e </w:t>
      </w:r>
      <w:r w:rsidR="002070A5" w:rsidRPr="00EA1CA4">
        <w:rPr>
          <w:rFonts w:ascii="Times New Roman" w:hAnsi="Times New Roman"/>
          <w:sz w:val="24"/>
          <w:szCs w:val="24"/>
          <w:lang w:val="sq-AL" w:eastAsia="zh-CN"/>
        </w:rPr>
        <w:t>I</w:t>
      </w:r>
      <w:r w:rsidRPr="00EA1CA4">
        <w:rPr>
          <w:rFonts w:ascii="Times New Roman" w:hAnsi="Times New Roman"/>
          <w:sz w:val="24"/>
          <w:szCs w:val="24"/>
          <w:lang w:val="sq-AL" w:eastAsia="zh-CN"/>
        </w:rPr>
        <w:t>LTB (%) në mesin e PLHIV</w:t>
      </w:r>
      <w:r w:rsidRPr="00EA1CA4">
        <w:rPr>
          <w:rStyle w:val="FootnoteReference"/>
          <w:rFonts w:ascii="Times New Roman" w:hAnsi="Times New Roman"/>
          <w:sz w:val="24"/>
          <w:szCs w:val="24"/>
          <w:lang w:val="sq-AL" w:eastAsia="zh-CN"/>
        </w:rPr>
        <w:footnoteReference w:id="49"/>
      </w:r>
    </w:p>
    <w:p w:rsidR="00FB336B" w:rsidRPr="00EA1CA4" w:rsidRDefault="00FB336B" w:rsidP="00624E04">
      <w:pPr>
        <w:spacing w:line="276" w:lineRule="auto"/>
        <w:jc w:val="both"/>
        <w:rPr>
          <w:b/>
        </w:rPr>
      </w:pPr>
    </w:p>
    <w:p w:rsidR="00E90EA1" w:rsidRPr="00EA1CA4" w:rsidRDefault="00E90EA1" w:rsidP="00624E04">
      <w:pPr>
        <w:spacing w:line="276" w:lineRule="auto"/>
        <w:jc w:val="both"/>
        <w:rPr>
          <w:b/>
        </w:rPr>
      </w:pPr>
      <w:r w:rsidRPr="00EA1CA4">
        <w:rPr>
          <w:b/>
        </w:rPr>
        <w:t>O</w:t>
      </w:r>
      <w:r w:rsidR="00D43E0E" w:rsidRPr="00EA1CA4">
        <w:rPr>
          <w:b/>
        </w:rPr>
        <w:t>bjektivi specifik</w:t>
      </w:r>
      <w:r w:rsidRPr="00EA1CA4">
        <w:rPr>
          <w:b/>
        </w:rPr>
        <w:t xml:space="preserve"> 2</w:t>
      </w:r>
      <w:r w:rsidR="00D43E0E" w:rsidRPr="00EA1CA4">
        <w:rPr>
          <w:b/>
        </w:rPr>
        <w:t>:</w:t>
      </w:r>
      <w:r w:rsidRPr="00EA1CA4">
        <w:rPr>
          <w:b/>
        </w:rPr>
        <w:t xml:space="preserve"> Sigurimi i </w:t>
      </w:r>
      <w:r w:rsidR="00FB336B" w:rsidRPr="00EA1CA4">
        <w:rPr>
          <w:b/>
        </w:rPr>
        <w:t>reagimit t</w:t>
      </w:r>
      <w:r w:rsidRPr="00EA1CA4">
        <w:rPr>
          <w:b/>
        </w:rPr>
        <w:t>ë qëndruesh</w:t>
      </w:r>
      <w:r w:rsidR="00FB336B" w:rsidRPr="00EA1CA4">
        <w:rPr>
          <w:b/>
        </w:rPr>
        <w:t>ë</w:t>
      </w:r>
      <w:r w:rsidRPr="00EA1CA4">
        <w:rPr>
          <w:b/>
        </w:rPr>
        <w:t xml:space="preserve">m ndaj TB-së përmes forcimit të koordinimit, </w:t>
      </w:r>
      <w:r w:rsidR="00FB336B" w:rsidRPr="00EA1CA4">
        <w:rPr>
          <w:b/>
        </w:rPr>
        <w:t xml:space="preserve">lidershipit dhe zotimit </w:t>
      </w:r>
      <w:r w:rsidRPr="00EA1CA4">
        <w:rPr>
          <w:b/>
        </w:rPr>
        <w:t xml:space="preserve">financiar dhe politik të </w:t>
      </w:r>
      <w:r w:rsidR="00FB336B" w:rsidRPr="00EA1CA4">
        <w:rPr>
          <w:b/>
        </w:rPr>
        <w:t>Q</w:t>
      </w:r>
      <w:r w:rsidRPr="00EA1CA4">
        <w:rPr>
          <w:b/>
        </w:rPr>
        <w:t>everisë</w:t>
      </w:r>
    </w:p>
    <w:p w:rsidR="00E90EA1" w:rsidRPr="00EA1CA4" w:rsidRDefault="00E90EA1" w:rsidP="00624E04">
      <w:pPr>
        <w:spacing w:line="276" w:lineRule="auto"/>
        <w:jc w:val="both"/>
        <w:rPr>
          <w:b/>
        </w:rPr>
      </w:pPr>
    </w:p>
    <w:p w:rsidR="00E90EA1" w:rsidRPr="00EA1CA4" w:rsidRDefault="00E90EA1" w:rsidP="00624E04">
      <w:pPr>
        <w:spacing w:line="276" w:lineRule="auto"/>
        <w:jc w:val="both"/>
        <w:rPr>
          <w:b/>
        </w:rPr>
      </w:pPr>
      <w:r w:rsidRPr="00EA1CA4">
        <w:rPr>
          <w:b/>
          <w:lang w:eastAsia="en-US"/>
        </w:rPr>
        <w:t xml:space="preserve">Rezultati 2.1 </w:t>
      </w:r>
      <w:r w:rsidR="00FB336B" w:rsidRPr="00EA1CA4">
        <w:rPr>
          <w:b/>
          <w:lang w:eastAsia="en-US"/>
        </w:rPr>
        <w:t>Ngritja e nivelit të</w:t>
      </w:r>
      <w:r w:rsidRPr="00EA1CA4">
        <w:rPr>
          <w:b/>
        </w:rPr>
        <w:t xml:space="preserve"> qeverisjes, efektiviteti</w:t>
      </w:r>
      <w:r w:rsidR="00FB336B" w:rsidRPr="00EA1CA4">
        <w:rPr>
          <w:b/>
        </w:rPr>
        <w:t>t</w:t>
      </w:r>
      <w:r w:rsidRPr="00EA1CA4">
        <w:rPr>
          <w:b/>
        </w:rPr>
        <w:t xml:space="preserve"> </w:t>
      </w:r>
      <w:r w:rsidR="00FB336B" w:rsidRPr="00EA1CA4">
        <w:rPr>
          <w:b/>
        </w:rPr>
        <w:t>të</w:t>
      </w:r>
      <w:r w:rsidRPr="00EA1CA4">
        <w:rPr>
          <w:b/>
        </w:rPr>
        <w:t xml:space="preserve"> koordinimit dhe menaxhimit kombëtar të programeve kombëtare për HIV dhe TB</w:t>
      </w:r>
    </w:p>
    <w:p w:rsidR="00E90EA1" w:rsidRPr="00EA1CA4" w:rsidRDefault="00E90EA1" w:rsidP="00624E04">
      <w:pPr>
        <w:spacing w:line="276" w:lineRule="auto"/>
        <w:jc w:val="both"/>
        <w:rPr>
          <w:b/>
        </w:rPr>
      </w:pPr>
    </w:p>
    <w:p w:rsidR="00E90EA1" w:rsidRPr="00EA1CA4" w:rsidRDefault="00E90EA1" w:rsidP="00624E04">
      <w:pPr>
        <w:spacing w:line="276" w:lineRule="auto"/>
        <w:jc w:val="both"/>
        <w:rPr>
          <w:bCs/>
        </w:rPr>
      </w:pPr>
      <w:r w:rsidRPr="00EA1CA4">
        <w:rPr>
          <w:b/>
          <w:bCs/>
        </w:rPr>
        <w:t xml:space="preserve">Plani Strategjik Kombëtar </w:t>
      </w:r>
      <w:r w:rsidR="001C272F" w:rsidRPr="00EA1CA4">
        <w:rPr>
          <w:b/>
          <w:bCs/>
        </w:rPr>
        <w:t xml:space="preserve">kundër </w:t>
      </w:r>
      <w:r w:rsidRPr="00EA1CA4">
        <w:rPr>
          <w:b/>
          <w:bCs/>
        </w:rPr>
        <w:t>TB</w:t>
      </w:r>
      <w:r w:rsidR="001C272F" w:rsidRPr="00EA1CA4">
        <w:rPr>
          <w:b/>
          <w:bCs/>
        </w:rPr>
        <w:t>-së</w:t>
      </w:r>
      <w:r w:rsidRPr="00EA1CA4">
        <w:rPr>
          <w:b/>
          <w:bCs/>
        </w:rPr>
        <w:t xml:space="preserve">: </w:t>
      </w:r>
      <w:r w:rsidRPr="00EA1CA4">
        <w:rPr>
          <w:bCs/>
        </w:rPr>
        <w:t>Gjatë vitit 2021</w:t>
      </w:r>
      <w:r w:rsidR="001C272F" w:rsidRPr="00EA1CA4">
        <w:rPr>
          <w:bCs/>
        </w:rPr>
        <w:t>,</w:t>
      </w:r>
      <w:r w:rsidRPr="00EA1CA4">
        <w:rPr>
          <w:bCs/>
        </w:rPr>
        <w:t xml:space="preserve"> MSH dhe palët e interesuara kanë </w:t>
      </w:r>
      <w:r w:rsidR="001C272F" w:rsidRPr="00EA1CA4">
        <w:rPr>
          <w:bCs/>
        </w:rPr>
        <w:t xml:space="preserve">filluar me </w:t>
      </w:r>
      <w:r w:rsidRPr="00EA1CA4">
        <w:rPr>
          <w:bCs/>
        </w:rPr>
        <w:t xml:space="preserve">hartimin e Planit të ri Strategjik Kombëtar </w:t>
      </w:r>
      <w:r w:rsidR="001C272F" w:rsidRPr="00EA1CA4">
        <w:rPr>
          <w:bCs/>
        </w:rPr>
        <w:t>kundër</w:t>
      </w:r>
      <w:r w:rsidRPr="00EA1CA4">
        <w:rPr>
          <w:bCs/>
        </w:rPr>
        <w:t xml:space="preserve"> TB</w:t>
      </w:r>
      <w:r w:rsidR="001C272F" w:rsidRPr="00EA1CA4">
        <w:rPr>
          <w:bCs/>
        </w:rPr>
        <w:t>-së</w:t>
      </w:r>
      <w:r w:rsidRPr="00EA1CA4">
        <w:rPr>
          <w:bCs/>
        </w:rPr>
        <w:t xml:space="preserve"> 2022-2024, i cili përfshin Kornizën e Monitorimit dhe Vlerësimit. Këto politika programore do të udhëheqin zbatimin e </w:t>
      </w:r>
      <w:r w:rsidR="001C272F" w:rsidRPr="00EA1CA4">
        <w:rPr>
          <w:bCs/>
        </w:rPr>
        <w:t xml:space="preserve">reagimit </w:t>
      </w:r>
      <w:r w:rsidRPr="00EA1CA4">
        <w:rPr>
          <w:bCs/>
        </w:rPr>
        <w:t xml:space="preserve">kombëtar </w:t>
      </w:r>
      <w:r w:rsidR="001C272F" w:rsidRPr="00EA1CA4">
        <w:rPr>
          <w:bCs/>
        </w:rPr>
        <w:t>kundër</w:t>
      </w:r>
      <w:r w:rsidRPr="00EA1CA4">
        <w:rPr>
          <w:bCs/>
        </w:rPr>
        <w:t xml:space="preserve"> TB</w:t>
      </w:r>
      <w:r w:rsidR="001C272F" w:rsidRPr="00EA1CA4">
        <w:rPr>
          <w:bCs/>
        </w:rPr>
        <w:t>-së</w:t>
      </w:r>
      <w:r w:rsidRPr="00EA1CA4">
        <w:rPr>
          <w:bCs/>
        </w:rPr>
        <w:t xml:space="preserve"> në Kosovë. </w:t>
      </w:r>
    </w:p>
    <w:p w:rsidR="00E90EA1" w:rsidRPr="00EA1CA4" w:rsidRDefault="00E90EA1" w:rsidP="00624E04">
      <w:pPr>
        <w:spacing w:line="276" w:lineRule="auto"/>
        <w:jc w:val="both"/>
        <w:rPr>
          <w:shd w:val="clear" w:color="auto" w:fill="FFFFFF"/>
        </w:rPr>
      </w:pPr>
      <w:r w:rsidRPr="00EA1CA4">
        <w:rPr>
          <w:b/>
          <w:bCs/>
          <w:color w:val="000000"/>
        </w:rPr>
        <w:t>Qëndrueshmëria e funksionit të koordinimit</w:t>
      </w:r>
      <w:r w:rsidRPr="00EA1CA4">
        <w:rPr>
          <w:b/>
          <w:bCs/>
        </w:rPr>
        <w:t xml:space="preserve">: </w:t>
      </w:r>
      <w:r w:rsidRPr="00EA1CA4">
        <w:t>Mekanizmi Koordinues Vendor (</w:t>
      </w:r>
      <w:r w:rsidR="001C272F" w:rsidRPr="00EA1CA4">
        <w:t>MKV</w:t>
      </w:r>
      <w:r w:rsidRPr="00EA1CA4">
        <w:t xml:space="preserve">), i kryesuar nga MSH, shihet si organi kryesor koordinues për programin e financuar nga </w:t>
      </w:r>
      <w:r w:rsidR="001C272F" w:rsidRPr="00EA1CA4">
        <w:t>F</w:t>
      </w:r>
      <w:r w:rsidRPr="00EA1CA4">
        <w:t xml:space="preserve">G për HIV dhe TB. Ashtu si në shumë vende në tranzicion, ekziston rreziku i heqjes së </w:t>
      </w:r>
      <w:r w:rsidR="001C272F" w:rsidRPr="00EA1CA4">
        <w:t>MKV</w:t>
      </w:r>
      <w:r w:rsidRPr="00EA1CA4">
        <w:t xml:space="preserve"> pas </w:t>
      </w:r>
      <w:r w:rsidR="001C272F" w:rsidRPr="00EA1CA4">
        <w:t xml:space="preserve">marrjes </w:t>
      </w:r>
      <w:r w:rsidRPr="00EA1CA4">
        <w:t xml:space="preserve">së fondeve të </w:t>
      </w:r>
      <w:r w:rsidR="001C272F" w:rsidRPr="00EA1CA4">
        <w:t>F</w:t>
      </w:r>
      <w:r w:rsidRPr="00EA1CA4">
        <w:t xml:space="preserve">G. Aktualisht, nuk ka plane të qarta se si do të ndodhë ky tranzicion i </w:t>
      </w:r>
      <w:r w:rsidR="001C272F" w:rsidRPr="00EA1CA4">
        <w:t>MKV-së</w:t>
      </w:r>
      <w:r w:rsidRPr="00EA1CA4">
        <w:rPr>
          <w:shd w:val="clear" w:color="auto" w:fill="FFFFFF"/>
        </w:rPr>
        <w:t>. Shqetësimet janë ngritur gjithashtu nga palët e int</w:t>
      </w:r>
      <w:r w:rsidR="001C272F" w:rsidRPr="00EA1CA4">
        <w:rPr>
          <w:shd w:val="clear" w:color="auto" w:fill="FFFFFF"/>
        </w:rPr>
        <w:t>eresuara për masën në të cilën organi</w:t>
      </w:r>
      <w:r w:rsidRPr="00EA1CA4">
        <w:rPr>
          <w:shd w:val="clear" w:color="auto" w:fill="FFFFFF"/>
        </w:rPr>
        <w:t xml:space="preserve"> i ri/</w:t>
      </w:r>
      <w:r w:rsidR="001C272F" w:rsidRPr="00EA1CA4">
        <w:rPr>
          <w:shd w:val="clear" w:color="auto" w:fill="FFFFFF"/>
        </w:rPr>
        <w:t xml:space="preserve">i </w:t>
      </w:r>
      <w:r w:rsidRPr="00EA1CA4">
        <w:rPr>
          <w:shd w:val="clear" w:color="auto" w:fill="FFFFFF"/>
        </w:rPr>
        <w:t>riorganizuar koordinues do të sigurojë angazhimin e OSHC-ve dhe njerëzve të prekur nga sëmundjet</w:t>
      </w:r>
      <w:bookmarkStart w:id="50" w:name="_Ref83048813"/>
      <w:r w:rsidRPr="00EA1CA4">
        <w:rPr>
          <w:rStyle w:val="FootnoteReference"/>
          <w:shd w:val="clear" w:color="auto" w:fill="FFFFFF"/>
        </w:rPr>
        <w:footnoteReference w:id="50"/>
      </w:r>
      <w:bookmarkEnd w:id="50"/>
      <w:r w:rsidRPr="00EA1CA4">
        <w:rPr>
          <w:shd w:val="clear" w:color="auto" w:fill="FFFFFF"/>
        </w:rPr>
        <w:t xml:space="preserve">. Veçanërisht, kjo çështje e theksuar në </w:t>
      </w:r>
      <w:r w:rsidR="001C272F" w:rsidRPr="00EA1CA4">
        <w:rPr>
          <w:shd w:val="clear" w:color="auto" w:fill="FFFFFF"/>
        </w:rPr>
        <w:t>TPA</w:t>
      </w:r>
      <w:bookmarkStart w:id="51" w:name="_Ref82359731"/>
      <w:r w:rsidRPr="00EA1CA4">
        <w:rPr>
          <w:rStyle w:val="FootnoteReference"/>
          <w:shd w:val="clear" w:color="auto" w:fill="FFFFFF"/>
        </w:rPr>
        <w:footnoteReference w:id="51"/>
      </w:r>
      <w:bookmarkEnd w:id="51"/>
      <w:r w:rsidRPr="00EA1CA4">
        <w:rPr>
          <w:shd w:val="clear" w:color="auto" w:fill="FFFFFF"/>
        </w:rPr>
        <w:t xml:space="preserve">  nuk është adresuar ende.  </w:t>
      </w:r>
    </w:p>
    <w:p w:rsidR="00E90EA1" w:rsidRPr="00EA1CA4" w:rsidRDefault="00E90EA1" w:rsidP="00624E04">
      <w:pPr>
        <w:spacing w:line="276" w:lineRule="auto"/>
        <w:jc w:val="both"/>
      </w:pPr>
      <w:r w:rsidRPr="00EA1CA4">
        <w:rPr>
          <w:shd w:val="clear" w:color="auto" w:fill="FFFFFF"/>
        </w:rPr>
        <w:t xml:space="preserve">Me kusht që financimi i </w:t>
      </w:r>
      <w:r w:rsidR="001C272F" w:rsidRPr="00EA1CA4">
        <w:rPr>
          <w:shd w:val="clear" w:color="auto" w:fill="FFFFFF"/>
        </w:rPr>
        <w:t>F</w:t>
      </w:r>
      <w:r w:rsidRPr="00EA1CA4">
        <w:rPr>
          <w:shd w:val="clear" w:color="auto" w:fill="FFFFFF"/>
        </w:rPr>
        <w:t xml:space="preserve">G të përfundojë në </w:t>
      </w:r>
      <w:r w:rsidR="001C272F" w:rsidRPr="00EA1CA4">
        <w:rPr>
          <w:shd w:val="clear" w:color="auto" w:fill="FFFFFF"/>
        </w:rPr>
        <w:t xml:space="preserve">vitin </w:t>
      </w:r>
      <w:r w:rsidRPr="00EA1CA4">
        <w:rPr>
          <w:shd w:val="clear" w:color="auto" w:fill="FFFFFF"/>
        </w:rPr>
        <w:t xml:space="preserve">2024, ushtrimi i evolucionit të </w:t>
      </w:r>
      <w:r w:rsidR="001C272F" w:rsidRPr="00EA1CA4">
        <w:rPr>
          <w:shd w:val="clear" w:color="auto" w:fill="FFFFFF"/>
        </w:rPr>
        <w:t>MKV</w:t>
      </w:r>
      <w:r w:rsidRPr="00EA1CA4">
        <w:rPr>
          <w:shd w:val="clear" w:color="auto" w:fill="FFFFFF"/>
        </w:rPr>
        <w:t xml:space="preserve"> duhet të kryhet për të përcaktuar strukturën e ardhshme institucionale të mekanizmit koordinues për reagimin kombëtar </w:t>
      </w:r>
      <w:r w:rsidR="001C272F" w:rsidRPr="00EA1CA4">
        <w:rPr>
          <w:shd w:val="clear" w:color="auto" w:fill="FFFFFF"/>
        </w:rPr>
        <w:t xml:space="preserve">ndaj </w:t>
      </w:r>
      <w:r w:rsidRPr="00EA1CA4">
        <w:rPr>
          <w:shd w:val="clear" w:color="auto" w:fill="FFFFFF"/>
        </w:rPr>
        <w:t>HIV dhe TB - autoriteti koordinues kombëtar (</w:t>
      </w:r>
      <w:r w:rsidR="001C272F" w:rsidRPr="00EA1CA4">
        <w:rPr>
          <w:shd w:val="clear" w:color="auto" w:fill="FFFFFF"/>
        </w:rPr>
        <w:t>AKK</w:t>
      </w:r>
      <w:r w:rsidRPr="00EA1CA4">
        <w:rPr>
          <w:shd w:val="clear" w:color="auto" w:fill="FFFFFF"/>
        </w:rPr>
        <w:t xml:space="preserve">) në hierarkinë e qeverisë. Është e rëndësishme që </w:t>
      </w:r>
      <w:r w:rsidR="001C272F" w:rsidRPr="00EA1CA4">
        <w:rPr>
          <w:shd w:val="clear" w:color="auto" w:fill="FFFFFF"/>
        </w:rPr>
        <w:t>AKK</w:t>
      </w:r>
      <w:r w:rsidRPr="00EA1CA4">
        <w:rPr>
          <w:shd w:val="clear" w:color="auto" w:fill="FFFFFF"/>
        </w:rPr>
        <w:t xml:space="preserve"> të ndjekë parimet e </w:t>
      </w:r>
      <w:r w:rsidRPr="00EA1CA4">
        <w:rPr>
          <w:shd w:val="clear" w:color="auto" w:fill="FFFFFF"/>
        </w:rPr>
        <w:lastRenderedPageBreak/>
        <w:t xml:space="preserve">modelit të qeverisjes </w:t>
      </w:r>
      <w:r w:rsidR="001C272F" w:rsidRPr="00EA1CA4">
        <w:rPr>
          <w:shd w:val="clear" w:color="auto" w:fill="FFFFFF"/>
        </w:rPr>
        <w:t>së MKV,</w:t>
      </w:r>
      <w:r w:rsidRPr="00EA1CA4">
        <w:rPr>
          <w:shd w:val="clear" w:color="auto" w:fill="FFFFFF"/>
        </w:rPr>
        <w:t xml:space="preserve"> dhe të sigurojë angazhimin e shoqërisë civile dhe komuniteteve</w:t>
      </w:r>
      <w:r w:rsidRPr="00EA1CA4">
        <w:rPr>
          <w:rStyle w:val="normaltextrun"/>
          <w:color w:val="000000"/>
          <w:shd w:val="clear" w:color="auto" w:fill="FFFFFF"/>
        </w:rPr>
        <w:t>.</w:t>
      </w:r>
    </w:p>
    <w:p w:rsidR="00E90EA1" w:rsidRPr="00EA1CA4" w:rsidRDefault="00E90EA1" w:rsidP="00624E04">
      <w:pPr>
        <w:spacing w:line="276" w:lineRule="auto"/>
        <w:jc w:val="both"/>
        <w:rPr>
          <w:color w:val="000000"/>
        </w:rPr>
      </w:pPr>
      <w:r w:rsidRPr="00EA1CA4">
        <w:rPr>
          <w:b/>
          <w:bCs/>
        </w:rPr>
        <w:t xml:space="preserve">Miratimi dhe zbatimi i Planit të Tranzicionit dhe Qëndrueshmërisë: </w:t>
      </w:r>
      <w:r w:rsidRPr="00EA1CA4">
        <w:t xml:space="preserve">Si vazhdim i TPA-së në </w:t>
      </w:r>
      <w:r w:rsidR="001C272F" w:rsidRPr="00EA1CA4">
        <w:t xml:space="preserve">vitin </w:t>
      </w:r>
      <w:r w:rsidRPr="00EA1CA4">
        <w:t>2017, Plani i Tranzicionit dhe Qëndrueshmërisë (</w:t>
      </w:r>
      <w:r w:rsidR="001C272F" w:rsidRPr="00EA1CA4">
        <w:t>PTQ</w:t>
      </w:r>
      <w:r w:rsidRPr="00EA1CA4">
        <w:t xml:space="preserve">) u hartua dhe u dorëzua për miratim </w:t>
      </w:r>
      <w:r w:rsidR="001C272F" w:rsidRPr="00EA1CA4">
        <w:t xml:space="preserve">pranë </w:t>
      </w:r>
      <w:r w:rsidRPr="00EA1CA4">
        <w:t>MSH</w:t>
      </w:r>
      <w:r w:rsidR="001C272F" w:rsidRPr="00EA1CA4">
        <w:t>-së</w:t>
      </w:r>
      <w:r w:rsidRPr="00EA1CA4">
        <w:t xml:space="preserve"> në</w:t>
      </w:r>
      <w:r w:rsidR="001C272F" w:rsidRPr="00EA1CA4">
        <w:t xml:space="preserve"> vitin</w:t>
      </w:r>
      <w:r w:rsidRPr="00EA1CA4">
        <w:t xml:space="preserve"> 2021. Ndërhyrjet e </w:t>
      </w:r>
      <w:r w:rsidR="001C272F" w:rsidRPr="00EA1CA4">
        <w:t>PTQ</w:t>
      </w:r>
      <w:r w:rsidRPr="00EA1CA4">
        <w:t xml:space="preserve">-së në lidhje me programin kombëtar </w:t>
      </w:r>
      <w:r w:rsidR="001C272F" w:rsidRPr="00EA1CA4">
        <w:t>kundër</w:t>
      </w:r>
      <w:r w:rsidRPr="00EA1CA4">
        <w:t xml:space="preserve"> TB-së, janë përfshirë në Planin Strategjik Kombëtar </w:t>
      </w:r>
      <w:r w:rsidR="001C272F" w:rsidRPr="00EA1CA4">
        <w:t>kundër</w:t>
      </w:r>
      <w:r w:rsidRPr="00EA1CA4">
        <w:t xml:space="preserve"> TB-së 2022-2024. Gjatë viteve 2022-2024, zbatimi i </w:t>
      </w:r>
      <w:r w:rsidR="001C272F" w:rsidRPr="00EA1CA4">
        <w:t>PTQ</w:t>
      </w:r>
      <w:r w:rsidRPr="00EA1CA4">
        <w:t xml:space="preserve"> do të monitorohet nga afër. Ndërkohë që janë ndërmarrë hapa konkretë drejt tranzicionit, mbetet thelbësore që vendi të zhvillojë një plan pune të tranzicionit plotësisht të operacionalizuar për të siguruar që procesi i tranzicionit të menaxhohet në mënyrë efektive</w:t>
      </w:r>
      <w:r w:rsidRPr="00EA1CA4">
        <w:rPr>
          <w:rStyle w:val="FootnoteReference"/>
          <w:color w:val="000000"/>
        </w:rPr>
        <w:footnoteReference w:id="52"/>
      </w:r>
      <w:r w:rsidRPr="00EA1CA4">
        <w:rPr>
          <w:color w:val="000000"/>
        </w:rPr>
        <w:t>.</w:t>
      </w:r>
    </w:p>
    <w:p w:rsidR="00E90EA1" w:rsidRPr="00EA1CA4" w:rsidRDefault="00E90EA1" w:rsidP="00624E04">
      <w:pPr>
        <w:spacing w:line="276" w:lineRule="auto"/>
        <w:jc w:val="both"/>
      </w:pPr>
      <w:r w:rsidRPr="00EA1CA4">
        <w:t xml:space="preserve">Aktualisht, programet e HIV dhe TB kanë funksionuar në mënyrë të dallueshme dhe sistemet për menaxhimin e TB dhe HIV janë aktualisht të ndara nga ana administrative. Në kuadër të Ministrisë së Shëndetësisë (MSH), funksionon Divizioni i Shërbimeve të </w:t>
      </w:r>
      <w:r w:rsidR="001C272F" w:rsidRPr="00EA1CA4">
        <w:t xml:space="preserve">Veçanta </w:t>
      </w:r>
      <w:r w:rsidRPr="00EA1CA4">
        <w:t>Shëndetësor</w:t>
      </w:r>
      <w:r w:rsidR="001C272F" w:rsidRPr="00EA1CA4">
        <w:t>e</w:t>
      </w:r>
      <w:r w:rsidRPr="00EA1CA4">
        <w:t xml:space="preserve"> (DSH</w:t>
      </w:r>
      <w:r w:rsidR="001C272F" w:rsidRPr="00EA1CA4">
        <w:t>VSH</w:t>
      </w:r>
      <w:r w:rsidRPr="00EA1CA4">
        <w:t xml:space="preserve">), i cili është institucioni kyç që merret me sëmundjet </w:t>
      </w:r>
      <w:r w:rsidR="005618DE" w:rsidRPr="00EA1CA4">
        <w:t>specifike</w:t>
      </w:r>
      <w:r w:rsidRPr="00EA1CA4">
        <w:t xml:space="preserve">, </w:t>
      </w:r>
      <w:r w:rsidR="001C272F" w:rsidRPr="00EA1CA4">
        <w:t xml:space="preserve">duke </w:t>
      </w:r>
      <w:r w:rsidRPr="00EA1CA4">
        <w:t>përfshirë HIV/AIDS dhe TB. Mbikëqyrja e kontrollit të HIV-it dhe TB-së është përgjegjësi e Koordinatorit Kombëtar të TB-së të MSH-së dhe Zyrtarit të MSH-së për HIV/AIDS, që të dy janë pjesë e DSH</w:t>
      </w:r>
      <w:r w:rsidR="001C272F" w:rsidRPr="00EA1CA4">
        <w:t>VSH-së</w:t>
      </w:r>
      <w:r w:rsidRPr="00EA1CA4">
        <w:t>. Megjithatë, DSH</w:t>
      </w:r>
      <w:r w:rsidR="001C272F" w:rsidRPr="00EA1CA4">
        <w:t>VSH</w:t>
      </w:r>
      <w:r w:rsidRPr="00EA1CA4">
        <w:t>-së i mungon staf i mjaftueshëm</w:t>
      </w:r>
      <w:r w:rsidR="001C272F" w:rsidRPr="00EA1CA4">
        <w:t>,</w:t>
      </w:r>
      <w:r w:rsidRPr="00EA1CA4">
        <w:t xml:space="preserve"> dhe kapacitet</w:t>
      </w:r>
      <w:r w:rsidR="001C272F" w:rsidRPr="00EA1CA4">
        <w:t>et</w:t>
      </w:r>
      <w:r w:rsidRPr="00EA1CA4">
        <w:t xml:space="preserve"> duhet të rritet më tej për të siguruar menaxhim dhe mbikëqyrje efektive të të dy programeve të sëmundjes pas përfundimit të financimit të </w:t>
      </w:r>
      <w:r w:rsidR="001C272F" w:rsidRPr="00EA1CA4">
        <w:t>F</w:t>
      </w:r>
      <w:r w:rsidRPr="00EA1CA4">
        <w:t>G</w:t>
      </w:r>
      <w:r w:rsidR="00D75ED6">
        <w:fldChar w:fldCharType="begin"/>
      </w:r>
      <w:r w:rsidR="00D75ED6">
        <w:instrText xml:space="preserve"> NOTEREF _Ref82359731 \f \h  \* MERGEFORMAT </w:instrText>
      </w:r>
      <w:r w:rsidR="00D75ED6">
        <w:fldChar w:fldCharType="separate"/>
      </w:r>
      <w:r w:rsidR="00DD5916" w:rsidRPr="00EA1CA4">
        <w:rPr>
          <w:rStyle w:val="FootnoteReference"/>
        </w:rPr>
        <w:t>53</w:t>
      </w:r>
      <w:r w:rsidR="00D75ED6">
        <w:fldChar w:fldCharType="end"/>
      </w:r>
      <w:r w:rsidRPr="00EA1CA4">
        <w:t xml:space="preserve">. </w:t>
      </w:r>
      <w:r w:rsidR="00BE23F0" w:rsidRPr="00EA1CA4">
        <w:t>FZHK</w:t>
      </w:r>
      <w:r w:rsidRPr="00EA1CA4">
        <w:t xml:space="preserve"> dhe OSHC-të e financuara nga </w:t>
      </w:r>
      <w:r w:rsidR="00BE23F0" w:rsidRPr="00EA1CA4">
        <w:t>F</w:t>
      </w:r>
      <w:r w:rsidRPr="00EA1CA4">
        <w:t xml:space="preserve">G aktualisht përmbushin disa </w:t>
      </w:r>
      <w:r w:rsidR="00BE23F0" w:rsidRPr="00EA1CA4">
        <w:t xml:space="preserve">prej </w:t>
      </w:r>
      <w:r w:rsidRPr="00EA1CA4">
        <w:t>funksione</w:t>
      </w:r>
      <w:r w:rsidR="00BE23F0" w:rsidRPr="00EA1CA4">
        <w:t>ve</w:t>
      </w:r>
      <w:r w:rsidRPr="00EA1CA4">
        <w:t xml:space="preserve"> kryesore që duhet të kalojnë në MSH, duke përfshirë mbikëqyrjen, asistencën teknike, monitorimin, vlerësimin dhe raportimin</w:t>
      </w:r>
      <w:r w:rsidRPr="00EA1CA4">
        <w:rPr>
          <w:color w:val="000000"/>
        </w:rPr>
        <w:t>.</w:t>
      </w:r>
      <w:r w:rsidRPr="00EA1CA4">
        <w:rPr>
          <w:rStyle w:val="FootnoteReference"/>
          <w:color w:val="000000"/>
        </w:rPr>
        <w:footnoteReference w:id="53"/>
      </w:r>
    </w:p>
    <w:p w:rsidR="00E90EA1" w:rsidRPr="00EA1CA4" w:rsidRDefault="00E90EA1" w:rsidP="00624E04">
      <w:pPr>
        <w:spacing w:line="276" w:lineRule="auto"/>
        <w:jc w:val="both"/>
      </w:pPr>
      <w:r w:rsidRPr="00EA1CA4">
        <w:t>Për të arritur objektivin e deklaruar, ka nevojë për i) gjetjen e mënyrave për qëndrueshmërinë e mekanizmit kombëtar të koordinimit; ii) miratimin, zbatimin dhe monitorimin e rregullt të aktiviteteve të planifikuara në kuadër të P</w:t>
      </w:r>
      <w:r w:rsidR="00503645" w:rsidRPr="00EA1CA4">
        <w:t>TQ</w:t>
      </w:r>
      <w:r w:rsidRPr="00EA1CA4">
        <w:t>; dhe iii) ngritjen e kapaciteteve të DSH</w:t>
      </w:r>
      <w:r w:rsidR="00503645" w:rsidRPr="00EA1CA4">
        <w:t>VSH</w:t>
      </w:r>
      <w:r w:rsidRPr="00EA1CA4">
        <w:t xml:space="preserve"> në menaxhimin e </w:t>
      </w:r>
      <w:r w:rsidR="00503645" w:rsidRPr="00EA1CA4">
        <w:t xml:space="preserve">reagimeve </w:t>
      </w:r>
      <w:r w:rsidRPr="00EA1CA4">
        <w:t xml:space="preserve">kombëtare </w:t>
      </w:r>
      <w:r w:rsidR="00503645" w:rsidRPr="00EA1CA4">
        <w:t>kundër</w:t>
      </w:r>
      <w:r w:rsidRPr="00EA1CA4">
        <w:t xml:space="preserve"> TB dhe HIV.  </w:t>
      </w:r>
    </w:p>
    <w:p w:rsidR="00E90EA1" w:rsidRPr="00EA1CA4" w:rsidRDefault="00E90EA1" w:rsidP="00624E04">
      <w:pPr>
        <w:spacing w:line="276" w:lineRule="auto"/>
        <w:jc w:val="both"/>
      </w:pPr>
      <w:r w:rsidRPr="00EA1CA4">
        <w:rPr>
          <w:b/>
          <w:bCs/>
        </w:rPr>
        <w:lastRenderedPageBreak/>
        <w:t>Rritja e mëtejshme e kapacitet</w:t>
      </w:r>
      <w:r w:rsidR="00503645" w:rsidRPr="00EA1CA4">
        <w:rPr>
          <w:b/>
          <w:bCs/>
        </w:rPr>
        <w:t xml:space="preserve">eve </w:t>
      </w:r>
      <w:r w:rsidRPr="00EA1CA4">
        <w:rPr>
          <w:b/>
          <w:bCs/>
        </w:rPr>
        <w:t>të MSH-së për mbikëqyrje, menaxhim dhe M</w:t>
      </w:r>
      <w:r w:rsidR="00503645" w:rsidRPr="00EA1CA4">
        <w:rPr>
          <w:b/>
          <w:bCs/>
        </w:rPr>
        <w:t>dheV</w:t>
      </w:r>
      <w:r w:rsidRPr="00EA1CA4">
        <w:rPr>
          <w:b/>
          <w:bCs/>
        </w:rPr>
        <w:t xml:space="preserve"> të reagimit ndaj TB: </w:t>
      </w:r>
      <w:r w:rsidRPr="00EA1CA4">
        <w:t>Aktualisht zbatimi i P</w:t>
      </w:r>
      <w:r w:rsidR="00503645" w:rsidRPr="00EA1CA4">
        <w:t>K</w:t>
      </w:r>
      <w:r w:rsidRPr="00EA1CA4">
        <w:t xml:space="preserve">V-së në thelb mbështetet në financimin e </w:t>
      </w:r>
      <w:r w:rsidR="00503645" w:rsidRPr="00EA1CA4">
        <w:t>F</w:t>
      </w:r>
      <w:r w:rsidRPr="00EA1CA4">
        <w:t xml:space="preserve">G. </w:t>
      </w:r>
      <w:r w:rsidR="00503645" w:rsidRPr="00EA1CA4">
        <w:t>FZHK,</w:t>
      </w:r>
      <w:r w:rsidRPr="00EA1CA4">
        <w:t xml:space="preserve"> një OSHC lokale dhe një Përfitues Kryesor i granteve të </w:t>
      </w:r>
      <w:r w:rsidR="00503645" w:rsidRPr="00EA1CA4">
        <w:t>F</w:t>
      </w:r>
      <w:r w:rsidRPr="00EA1CA4">
        <w:t>G që nga viti 2011, do të mbetet si PR për Grantin e Tranzicionit pasi nuk parashikohen ndryshime në aranzhimet e zbatimit në fazën e zbatimit të grantit të tranzicionit. Prandaj, gjatë këtij cikli programor</w:t>
      </w:r>
      <w:r w:rsidR="00503645" w:rsidRPr="00EA1CA4">
        <w:t>,</w:t>
      </w:r>
      <w:r w:rsidRPr="00EA1CA4">
        <w:t xml:space="preserve"> MSH duhet të zhvillojë kapacitete të mjaftueshme për të marrë përsipër të gjitha funksionet e Programit për TB pasi të përfundojë financimi </w:t>
      </w:r>
      <w:r w:rsidR="00503645" w:rsidRPr="00EA1CA4">
        <w:t xml:space="preserve">nga </w:t>
      </w:r>
      <w:r w:rsidRPr="00EA1CA4">
        <w:t>Fondi Global.</w:t>
      </w:r>
    </w:p>
    <w:p w:rsidR="00503645" w:rsidRPr="00EA1CA4" w:rsidRDefault="00503645" w:rsidP="00624E04">
      <w:pPr>
        <w:spacing w:line="276" w:lineRule="auto"/>
        <w:jc w:val="both"/>
        <w:rPr>
          <w:b/>
          <w:i/>
        </w:rPr>
      </w:pPr>
    </w:p>
    <w:p w:rsidR="0081600A" w:rsidRPr="00EA1CA4" w:rsidRDefault="00E90EA1" w:rsidP="0081600A">
      <w:pPr>
        <w:spacing w:line="276" w:lineRule="auto"/>
        <w:jc w:val="both"/>
        <w:rPr>
          <w:b/>
          <w:i/>
        </w:rPr>
      </w:pPr>
      <w:r w:rsidRPr="00EA1CA4">
        <w:rPr>
          <w:b/>
          <w:i/>
        </w:rPr>
        <w:t>Aktivitetet e planifikuara:</w:t>
      </w:r>
    </w:p>
    <w:p w:rsidR="0081600A" w:rsidRPr="00EA1CA4" w:rsidRDefault="0081600A" w:rsidP="0081600A">
      <w:pPr>
        <w:spacing w:line="276" w:lineRule="auto"/>
        <w:jc w:val="both"/>
        <w:rPr>
          <w:b/>
          <w:i/>
        </w:rPr>
      </w:pPr>
    </w:p>
    <w:p w:rsidR="0081600A" w:rsidRPr="00EA1CA4" w:rsidRDefault="00896307">
      <w:pPr>
        <w:pStyle w:val="ListParagraph"/>
        <w:numPr>
          <w:ilvl w:val="2"/>
          <w:numId w:val="33"/>
        </w:numPr>
        <w:spacing w:line="276" w:lineRule="auto"/>
        <w:jc w:val="both"/>
        <w:rPr>
          <w:rFonts w:ascii="Times New Roman" w:hAnsi="Times New Roman"/>
          <w:sz w:val="24"/>
          <w:szCs w:val="24"/>
          <w:lang w:val="sq-AL"/>
        </w:rPr>
      </w:pPr>
      <w:r w:rsidRPr="00EA1CA4">
        <w:rPr>
          <w:rFonts w:ascii="Times New Roman" w:hAnsi="Times New Roman"/>
          <w:color w:val="000000"/>
          <w:sz w:val="24"/>
          <w:szCs w:val="24"/>
          <w:lang w:val="sq-AL"/>
        </w:rPr>
        <w:t>Identifikimi i një autoriteti kombëtar koordinues (AKK) që do të merr përsipër funksionet e MKV dhe që do të përcaktojë dhe miratojë rolet, përgjegjësitë, anëtarësimin dhe pozicionimin e NCA-së të autorizuar ligjërisht në hierarkinë qeveritare që garanton përfaqësimin e OSHC-</w:t>
      </w:r>
      <w:r w:rsidR="00E90EA1" w:rsidRPr="00EA1CA4">
        <w:rPr>
          <w:rFonts w:ascii="Times New Roman" w:hAnsi="Times New Roman"/>
          <w:color w:val="000000"/>
          <w:sz w:val="24"/>
          <w:szCs w:val="24"/>
          <w:lang w:val="sq-AL"/>
        </w:rPr>
        <w:t xml:space="preserve">ve </w:t>
      </w:r>
    </w:p>
    <w:p w:rsidR="0081600A" w:rsidRPr="00EA1CA4" w:rsidRDefault="00896307">
      <w:pPr>
        <w:pStyle w:val="ListParagraph"/>
        <w:numPr>
          <w:ilvl w:val="2"/>
          <w:numId w:val="33"/>
        </w:numPr>
        <w:spacing w:line="276" w:lineRule="auto"/>
        <w:jc w:val="both"/>
        <w:rPr>
          <w:rFonts w:ascii="Times New Roman" w:hAnsi="Times New Roman"/>
          <w:sz w:val="24"/>
          <w:szCs w:val="24"/>
          <w:lang w:val="sq-AL"/>
        </w:rPr>
      </w:pPr>
      <w:r w:rsidRPr="00EA1CA4">
        <w:rPr>
          <w:rFonts w:ascii="Times New Roman" w:hAnsi="Times New Roman"/>
          <w:color w:val="000000"/>
          <w:sz w:val="24"/>
          <w:szCs w:val="24"/>
          <w:lang w:val="sq-AL"/>
        </w:rPr>
        <w:t>Sigurimi i miratimit të Planit të Tranzicionit dhe Qëndrueshmërisë (PTQ) nga Qeveria, si dhe përfshirjes dhe miratimit të aktiviteteve të PTQ në Planin Kombëtar të Veprimit Strategjik kundër TB-së (PKVS-TB) i cili përfshin buxhetin dhe kornizën e Mdhe</w:t>
      </w:r>
      <w:r w:rsidR="00E90EA1" w:rsidRPr="00EA1CA4">
        <w:rPr>
          <w:rFonts w:ascii="Times New Roman" w:hAnsi="Times New Roman"/>
          <w:color w:val="000000"/>
          <w:sz w:val="24"/>
          <w:szCs w:val="24"/>
          <w:lang w:val="sq-AL"/>
        </w:rPr>
        <w:t xml:space="preserve">V </w:t>
      </w:r>
    </w:p>
    <w:p w:rsidR="00E90EA1" w:rsidRPr="00EA1CA4" w:rsidRDefault="00896307">
      <w:pPr>
        <w:pStyle w:val="ListParagraph"/>
        <w:numPr>
          <w:ilvl w:val="2"/>
          <w:numId w:val="33"/>
        </w:numPr>
        <w:spacing w:line="276" w:lineRule="auto"/>
        <w:jc w:val="both"/>
        <w:rPr>
          <w:rFonts w:ascii="Times New Roman" w:hAnsi="Times New Roman"/>
          <w:sz w:val="24"/>
          <w:szCs w:val="24"/>
          <w:lang w:val="sq-AL"/>
        </w:rPr>
      </w:pPr>
      <w:r w:rsidRPr="00EA1CA4">
        <w:rPr>
          <w:rFonts w:ascii="Times New Roman" w:hAnsi="Times New Roman"/>
          <w:sz w:val="24"/>
          <w:szCs w:val="24"/>
          <w:lang w:val="sq-AL"/>
        </w:rPr>
        <w:t>Zhvillimi dhe zbatimi i planit për ngritjen e kapaciteteve të MSH-së dhe sigurimin e mbështetjes së koordinuar për rritjen e kapaciteteve të MSH-së përmes trajnimit të stafit të MSH-së në menaxhimin e programit, menaxhimin e financave publike, gjurmimin e burimeve, monitorimin dhe vlerësimin, etj</w:t>
      </w:r>
      <w:r w:rsidR="00E90EA1" w:rsidRPr="00EA1CA4">
        <w:rPr>
          <w:rFonts w:ascii="Times New Roman" w:hAnsi="Times New Roman"/>
          <w:sz w:val="24"/>
          <w:szCs w:val="24"/>
          <w:lang w:val="sq-AL"/>
        </w:rPr>
        <w:t xml:space="preserve">. </w:t>
      </w:r>
    </w:p>
    <w:p w:rsidR="00E90EA1" w:rsidRPr="00EA1CA4" w:rsidRDefault="00E90EA1" w:rsidP="00624E04">
      <w:pPr>
        <w:spacing w:line="276" w:lineRule="auto"/>
        <w:jc w:val="both"/>
      </w:pPr>
    </w:p>
    <w:p w:rsidR="00E90EA1" w:rsidRPr="00EA1CA4" w:rsidRDefault="00E90EA1" w:rsidP="00624E04">
      <w:pPr>
        <w:spacing w:line="276" w:lineRule="auto"/>
        <w:jc w:val="both"/>
        <w:rPr>
          <w:b/>
        </w:rPr>
      </w:pPr>
      <w:r w:rsidRPr="00EA1CA4">
        <w:rPr>
          <w:b/>
        </w:rPr>
        <w:t xml:space="preserve">Rezultati 2.2 Arritja e pavarësisë financiare nga financimi i jashtëm dhe sigurimi i përdorimit efikas të burimeve publike </w:t>
      </w:r>
    </w:p>
    <w:p w:rsidR="00E90EA1" w:rsidRPr="00EA1CA4" w:rsidRDefault="00E90EA1" w:rsidP="00624E04">
      <w:pPr>
        <w:spacing w:line="276" w:lineRule="auto"/>
        <w:jc w:val="both"/>
        <w:rPr>
          <w:b/>
        </w:rPr>
      </w:pPr>
    </w:p>
    <w:p w:rsidR="00E90EA1" w:rsidRPr="00EA1CA4" w:rsidRDefault="00E90EA1" w:rsidP="00624E04">
      <w:pPr>
        <w:spacing w:line="276" w:lineRule="auto"/>
        <w:jc w:val="both"/>
        <w:rPr>
          <w:rStyle w:val="normaltextrun"/>
          <w:color w:val="000000"/>
          <w:bdr w:val="none" w:sz="0" w:space="0" w:color="auto" w:frame="1"/>
        </w:rPr>
      </w:pPr>
      <w:r w:rsidRPr="00EA1CA4">
        <w:rPr>
          <w:b/>
          <w:bCs/>
        </w:rPr>
        <w:t xml:space="preserve">Niveli aktual i financimit të programit </w:t>
      </w:r>
      <w:r w:rsidR="00B66B69" w:rsidRPr="00EA1CA4">
        <w:rPr>
          <w:b/>
          <w:bCs/>
        </w:rPr>
        <w:t>kundër</w:t>
      </w:r>
      <w:r w:rsidRPr="00EA1CA4">
        <w:rPr>
          <w:b/>
          <w:bCs/>
        </w:rPr>
        <w:t xml:space="preserve"> TB dhe HIV është </w:t>
      </w:r>
      <w:r w:rsidR="00B66B69" w:rsidRPr="00EA1CA4">
        <w:rPr>
          <w:b/>
          <w:bCs/>
        </w:rPr>
        <w:t>nën-</w:t>
      </w:r>
      <w:r w:rsidRPr="00EA1CA4">
        <w:rPr>
          <w:b/>
          <w:bCs/>
        </w:rPr>
        <w:t xml:space="preserve">optimal: </w:t>
      </w:r>
      <w:r w:rsidRPr="00EA1CA4">
        <w:rPr>
          <w:bCs/>
        </w:rPr>
        <w:t xml:space="preserve">I gjithë sektori shëndetësor në Kosovë i nënshtrohet financimit të kufizuar dhe qasja në disa shërbime shëndetësore bazë është e kufizuar për popullatën e përgjithshme për shkak të varfërisë, barrierave financiare dhe </w:t>
      </w:r>
      <w:r w:rsidRPr="00EA1CA4">
        <w:rPr>
          <w:bCs/>
        </w:rPr>
        <w:lastRenderedPageBreak/>
        <w:t>popullatave më të cenueshme janë të prekura në mënyrë disproporcionale.</w:t>
      </w:r>
      <w:r w:rsidRPr="00EA1CA4">
        <w:rPr>
          <w:rStyle w:val="FootnoteReference"/>
          <w:color w:val="000000"/>
          <w:bdr w:val="none" w:sz="0" w:space="0" w:color="auto" w:frame="1"/>
        </w:rPr>
        <w:footnoteReference w:id="54"/>
      </w:r>
      <w:r w:rsidRPr="00EA1CA4">
        <w:rPr>
          <w:rStyle w:val="normaltextrun"/>
          <w:color w:val="000000"/>
          <w:bdr w:val="none" w:sz="0" w:space="0" w:color="auto" w:frame="1"/>
        </w:rPr>
        <w:t xml:space="preserve"> Megjithatë, qasja në shërbimet e TB është pothuajse universale për të gjithë personat në nevojë në Kosovë. Reagimi kombëtar ndaj TB financohet kryesisht nga buxheti i shtetit dhe Fondi Global. Duke pasur parasysh që </w:t>
      </w:r>
      <w:r w:rsidR="00E548F2" w:rsidRPr="00EA1CA4">
        <w:rPr>
          <w:rStyle w:val="normaltextrun"/>
          <w:color w:val="000000"/>
          <w:bdr w:val="none" w:sz="0" w:space="0" w:color="auto" w:frame="1"/>
        </w:rPr>
        <w:t>alokimi i fondeve nga F</w:t>
      </w:r>
      <w:r w:rsidRPr="00EA1CA4">
        <w:rPr>
          <w:rStyle w:val="normaltextrun"/>
          <w:color w:val="000000"/>
          <w:bdr w:val="none" w:sz="0" w:space="0" w:color="auto" w:frame="1"/>
        </w:rPr>
        <w:t xml:space="preserve">G për programet e Kosovës </w:t>
      </w:r>
      <w:r w:rsidR="00E548F2" w:rsidRPr="00EA1CA4">
        <w:rPr>
          <w:rStyle w:val="normaltextrun"/>
          <w:color w:val="000000"/>
          <w:bdr w:val="none" w:sz="0" w:space="0" w:color="auto" w:frame="1"/>
        </w:rPr>
        <w:t>kundër</w:t>
      </w:r>
      <w:r w:rsidRPr="00EA1CA4">
        <w:rPr>
          <w:rStyle w:val="normaltextrun"/>
          <w:color w:val="000000"/>
          <w:bdr w:val="none" w:sz="0" w:space="0" w:color="auto" w:frame="1"/>
        </w:rPr>
        <w:t xml:space="preserve"> HIV/TB pritet të përfundojë deri në vitin 2024, Qeveria e Kosovës po planifikon të absorbojë gradualisht koston e shërbimeve të TB-së që do të mbështeten gjatë viteve 2022-2024 nga Fondi Global: është arritur një marrëveshje paraprake që nga viti 2022, qeveria do të bashkë</w:t>
      </w:r>
      <w:r w:rsidR="00E548F2" w:rsidRPr="00EA1CA4">
        <w:rPr>
          <w:rStyle w:val="normaltextrun"/>
          <w:color w:val="000000"/>
          <w:bdr w:val="none" w:sz="0" w:space="0" w:color="auto" w:frame="1"/>
        </w:rPr>
        <w:t>-</w:t>
      </w:r>
      <w:r w:rsidRPr="00EA1CA4">
        <w:rPr>
          <w:rStyle w:val="normaltextrun"/>
          <w:color w:val="000000"/>
          <w:bdr w:val="none" w:sz="0" w:space="0" w:color="auto" w:frame="1"/>
        </w:rPr>
        <w:t xml:space="preserve">financojë shërbimet e TB për të arritur 66.2% të objektivit total vjetor; ky angazhim do të rritet në 74.2% të objektivit vjetor në vitin 2023; dhe në vitin e fundit të zbatimit të grantit të tranzicionit të </w:t>
      </w:r>
      <w:r w:rsidR="00E548F2" w:rsidRPr="00EA1CA4">
        <w:rPr>
          <w:rStyle w:val="normaltextrun"/>
          <w:color w:val="000000"/>
          <w:bdr w:val="none" w:sz="0" w:space="0" w:color="auto" w:frame="1"/>
        </w:rPr>
        <w:t>FG</w:t>
      </w:r>
      <w:r w:rsidRPr="00EA1CA4">
        <w:rPr>
          <w:rStyle w:val="normaltextrun"/>
          <w:color w:val="000000"/>
          <w:bdr w:val="none" w:sz="0" w:space="0" w:color="auto" w:frame="1"/>
        </w:rPr>
        <w:t>, rreth 400 pacientë me TB (78.1% e objektivit vjetor) do të marrin shërbime të trajtimit dhe kujdesit për TB përmes financimit shtetëror.</w:t>
      </w:r>
      <w:r w:rsidRPr="00EA1CA4">
        <w:rPr>
          <w:rStyle w:val="FootnoteReference"/>
          <w:color w:val="000000"/>
          <w:bdr w:val="none" w:sz="0" w:space="0" w:color="auto" w:frame="1"/>
        </w:rPr>
        <w:footnoteReference w:id="55"/>
      </w:r>
      <w:r w:rsidRPr="00EA1CA4">
        <w:rPr>
          <w:rStyle w:val="normaltextrun"/>
          <w:color w:val="000000"/>
          <w:bdr w:val="none" w:sz="0" w:space="0" w:color="auto" w:frame="1"/>
        </w:rPr>
        <w:t xml:space="preserve"> Të gjitha barnat kundër tuberkulozit (linja e parë dhe e dytë) tashmë janë mbuluar nga buxheti i shtetit. Në</w:t>
      </w:r>
      <w:r w:rsidR="00E548F2" w:rsidRPr="00EA1CA4">
        <w:rPr>
          <w:rStyle w:val="normaltextrun"/>
          <w:color w:val="000000"/>
          <w:bdr w:val="none" w:sz="0" w:space="0" w:color="auto" w:frame="1"/>
        </w:rPr>
        <w:t xml:space="preserve"> periudhën</w:t>
      </w:r>
      <w:r w:rsidRPr="00EA1CA4">
        <w:rPr>
          <w:rStyle w:val="normaltextrun"/>
          <w:color w:val="000000"/>
          <w:bdr w:val="none" w:sz="0" w:space="0" w:color="auto" w:frame="1"/>
        </w:rPr>
        <w:t xml:space="preserve"> 2022-2024, një testim për HIV në mesin e pacientëve me tuberkuloz të regjistruar rishtazi dhe </w:t>
      </w:r>
      <w:r w:rsidR="00E548F2" w:rsidRPr="00EA1CA4">
        <w:rPr>
          <w:rStyle w:val="normaltextrun"/>
          <w:color w:val="000000"/>
          <w:bdr w:val="none" w:sz="0" w:space="0" w:color="auto" w:frame="1"/>
        </w:rPr>
        <w:t xml:space="preserve">të përsëritura </w:t>
      </w:r>
      <w:r w:rsidRPr="00EA1CA4">
        <w:rPr>
          <w:rStyle w:val="normaltextrun"/>
          <w:color w:val="000000"/>
          <w:bdr w:val="none" w:sz="0" w:space="0" w:color="auto" w:frame="1"/>
        </w:rPr>
        <w:t xml:space="preserve">do të mbulohet nga granti </w:t>
      </w:r>
      <w:r w:rsidR="00E548F2" w:rsidRPr="00EA1CA4">
        <w:rPr>
          <w:rStyle w:val="normaltextrun"/>
          <w:color w:val="000000"/>
          <w:bdr w:val="none" w:sz="0" w:space="0" w:color="auto" w:frame="1"/>
        </w:rPr>
        <w:t>i G</w:t>
      </w:r>
      <w:r w:rsidRPr="00EA1CA4">
        <w:rPr>
          <w:rStyle w:val="normaltextrun"/>
          <w:color w:val="000000"/>
          <w:bdr w:val="none" w:sz="0" w:space="0" w:color="auto" w:frame="1"/>
        </w:rPr>
        <w:t>G</w:t>
      </w:r>
      <w:r w:rsidR="00D75ED6">
        <w:fldChar w:fldCharType="begin"/>
      </w:r>
      <w:r w:rsidR="00D75ED6">
        <w:instrText xml:space="preserve"> NOTEREF _Ref83048813 \f \h  \* MERGEFORMAT </w:instrText>
      </w:r>
      <w:r w:rsidR="00D75ED6">
        <w:fldChar w:fldCharType="separate"/>
      </w:r>
      <w:r w:rsidR="00DD5916" w:rsidRPr="00EA1CA4">
        <w:rPr>
          <w:rStyle w:val="FootnoteReference"/>
        </w:rPr>
        <w:t>52</w:t>
      </w:r>
      <w:r w:rsidR="00D75ED6">
        <w:fldChar w:fldCharType="end"/>
      </w:r>
      <w:r w:rsidRPr="00EA1CA4">
        <w:rPr>
          <w:rStyle w:val="normaltextrun"/>
          <w:color w:val="000000"/>
          <w:bdr w:val="none" w:sz="0" w:space="0" w:color="auto" w:frame="1"/>
        </w:rPr>
        <w:t xml:space="preserve"> dhe qeveria do të marrë përsipër duke filluar nga viti 2025. </w:t>
      </w:r>
    </w:p>
    <w:p w:rsidR="00E90EA1" w:rsidRPr="00EA1CA4" w:rsidRDefault="00E90EA1" w:rsidP="00624E04">
      <w:pPr>
        <w:spacing w:line="276" w:lineRule="auto"/>
        <w:jc w:val="both"/>
        <w:rPr>
          <w:highlight w:val="yellow"/>
        </w:rPr>
      </w:pPr>
      <w:r w:rsidRPr="00EA1CA4">
        <w:rPr>
          <w:rStyle w:val="normaltextrun"/>
          <w:color w:val="000000"/>
          <w:bdr w:val="none" w:sz="0" w:space="0" w:color="auto" w:frame="1"/>
        </w:rPr>
        <w:t xml:space="preserve">Përmbushja e zotimit të Qeverisë për të siguruar financim adekuat për programin kombëtar </w:t>
      </w:r>
      <w:r w:rsidR="00E548F2" w:rsidRPr="00EA1CA4">
        <w:rPr>
          <w:rStyle w:val="normaltextrun"/>
          <w:color w:val="000000"/>
          <w:bdr w:val="none" w:sz="0" w:space="0" w:color="auto" w:frame="1"/>
        </w:rPr>
        <w:t>kundër</w:t>
      </w:r>
      <w:r w:rsidRPr="00EA1CA4">
        <w:rPr>
          <w:rStyle w:val="normaltextrun"/>
          <w:color w:val="000000"/>
          <w:bdr w:val="none" w:sz="0" w:space="0" w:color="auto" w:frame="1"/>
        </w:rPr>
        <w:t xml:space="preserve"> TB-së mund të bëhet sfiduese nëse pandemia C</w:t>
      </w:r>
      <w:r w:rsidR="00E548F2" w:rsidRPr="00EA1CA4">
        <w:rPr>
          <w:rStyle w:val="normaltextrun"/>
          <w:color w:val="000000"/>
          <w:bdr w:val="none" w:sz="0" w:space="0" w:color="auto" w:frame="1"/>
        </w:rPr>
        <w:t>OVID</w:t>
      </w:r>
      <w:r w:rsidRPr="00EA1CA4">
        <w:rPr>
          <w:rStyle w:val="normaltextrun"/>
          <w:color w:val="000000"/>
          <w:bdr w:val="none" w:sz="0" w:space="0" w:color="auto" w:frame="1"/>
        </w:rPr>
        <w:t>-19 vazhdon të vendosë një barrë të paparashikueshme financiare në sistemin e kujdesit shëndetësor të Kosovës</w:t>
      </w:r>
      <w:r w:rsidR="00B66B69" w:rsidRPr="00EA1CA4">
        <w:rPr>
          <w:rStyle w:val="normaltextrun"/>
          <w:color w:val="000000"/>
          <w:bdr w:val="none" w:sz="0" w:space="0" w:color="auto" w:frame="1"/>
        </w:rPr>
        <w:t>.</w:t>
      </w:r>
      <w:r w:rsidRPr="00EA1CA4">
        <w:rPr>
          <w:highlight w:val="yellow"/>
        </w:rPr>
        <w:t xml:space="preserve"> </w:t>
      </w:r>
    </w:p>
    <w:p w:rsidR="00E90EA1" w:rsidRPr="00EA1CA4" w:rsidRDefault="00E90EA1" w:rsidP="00624E04">
      <w:pPr>
        <w:spacing w:line="276" w:lineRule="auto"/>
        <w:jc w:val="both"/>
        <w:rPr>
          <w:rStyle w:val="normaltextrun"/>
          <w:bCs/>
          <w:iCs/>
        </w:rPr>
      </w:pPr>
      <w:r w:rsidRPr="00EA1CA4">
        <w:rPr>
          <w:b/>
          <w:iCs/>
          <w:color w:val="000000"/>
        </w:rPr>
        <w:t>Ndryshimet në pozi</w:t>
      </w:r>
      <w:r w:rsidR="00E548F2" w:rsidRPr="00EA1CA4">
        <w:rPr>
          <w:b/>
          <w:iCs/>
          <w:color w:val="000000"/>
        </w:rPr>
        <w:t xml:space="preserve">tat </w:t>
      </w:r>
      <w:r w:rsidRPr="00EA1CA4">
        <w:rPr>
          <w:b/>
          <w:iCs/>
          <w:color w:val="000000"/>
        </w:rPr>
        <w:t xml:space="preserve">politike të nivelit të lartë mund të shkaktojnë ndryshime të </w:t>
      </w:r>
      <w:r w:rsidR="00E548F2" w:rsidRPr="00EA1CA4">
        <w:rPr>
          <w:b/>
          <w:iCs/>
          <w:color w:val="000000"/>
        </w:rPr>
        <w:t>konsiderueshme</w:t>
      </w:r>
      <w:r w:rsidRPr="00EA1CA4">
        <w:rPr>
          <w:b/>
          <w:iCs/>
          <w:color w:val="000000"/>
        </w:rPr>
        <w:t xml:space="preserve"> </w:t>
      </w:r>
      <w:r w:rsidRPr="00EA1CA4">
        <w:rPr>
          <w:iCs/>
          <w:color w:val="000000"/>
        </w:rPr>
        <w:t xml:space="preserve">në përcaktimin e prioriteteve për financimin e MSH-së, gjë që mund të ketë një ndikim negativ në </w:t>
      </w:r>
      <w:r w:rsidR="008B28D2" w:rsidRPr="00EA1CA4">
        <w:rPr>
          <w:iCs/>
          <w:color w:val="000000"/>
        </w:rPr>
        <w:t xml:space="preserve">reagimet </w:t>
      </w:r>
      <w:r w:rsidRPr="00EA1CA4">
        <w:rPr>
          <w:iCs/>
          <w:color w:val="000000"/>
        </w:rPr>
        <w:t>ndaj HIV dhe TB</w:t>
      </w:r>
      <w:r w:rsidRPr="00EA1CA4">
        <w:rPr>
          <w:bCs/>
          <w:iCs/>
          <w:color w:val="000000"/>
        </w:rPr>
        <w:t>.</w:t>
      </w:r>
      <w:r w:rsidR="008B28D2" w:rsidRPr="00EA1CA4">
        <w:rPr>
          <w:bCs/>
          <w:iCs/>
          <w:color w:val="000000"/>
        </w:rPr>
        <w:t xml:space="preserve"> </w:t>
      </w:r>
      <w:r w:rsidRPr="00EA1CA4">
        <w:t>Ekziston nevoja për të intensifikuar përpjekjet e avokimit për të mbrojtur rritjen e shpërndarjes së burimeve për shëndet</w:t>
      </w:r>
      <w:r w:rsidR="008B28D2" w:rsidRPr="00EA1CA4">
        <w:t xml:space="preserve">ësi </w:t>
      </w:r>
      <w:r w:rsidRPr="00EA1CA4">
        <w:t xml:space="preserve">në vitet e ardhshme, si dhe në buxhetet vjetore </w:t>
      </w:r>
      <w:r w:rsidR="008B28D2" w:rsidRPr="00EA1CA4">
        <w:t>p</w:t>
      </w:r>
      <w:r w:rsidRPr="00EA1CA4">
        <w:t>ë</w:t>
      </w:r>
      <w:r w:rsidR="008B28D2" w:rsidRPr="00EA1CA4">
        <w:t>r</w:t>
      </w:r>
      <w:r w:rsidRPr="00EA1CA4">
        <w:t xml:space="preserve"> sëmundje. Së bashku me rritjen e financimit të komponentit të trajtimit të TB-së, theksi duhet vënë gjithashtu në gjetjen e rasteve të TB-së, aderimin dhe shërbimet e mbështetjes sociale, dhe aktivitetet A</w:t>
      </w:r>
      <w:r w:rsidR="008B28D2" w:rsidRPr="00EA1CA4">
        <w:t>KMS</w:t>
      </w:r>
      <w:r w:rsidRPr="00EA1CA4">
        <w:t xml:space="preserve"> të zbatuara nga organizatat e shoqërisë </w:t>
      </w:r>
      <w:r w:rsidRPr="00EA1CA4">
        <w:lastRenderedPageBreak/>
        <w:t>civile, si dhe programin M</w:t>
      </w:r>
      <w:r w:rsidR="008B28D2" w:rsidRPr="00EA1CA4">
        <w:t>dh</w:t>
      </w:r>
      <w:r w:rsidRPr="00EA1CA4">
        <w:t xml:space="preserve">V, planifikimin strategjik të burimeve njerëzore dhe aktivitetet e zhvillimit të kapaciteteve. </w:t>
      </w:r>
    </w:p>
    <w:p w:rsidR="00E90EA1" w:rsidRPr="00EA1CA4" w:rsidRDefault="00E90EA1" w:rsidP="00624E04">
      <w:pPr>
        <w:spacing w:line="276" w:lineRule="auto"/>
        <w:jc w:val="both"/>
        <w:rPr>
          <w:color w:val="009193"/>
        </w:rPr>
      </w:pPr>
      <w:r w:rsidRPr="00EA1CA4">
        <w:rPr>
          <w:b/>
          <w:bCs/>
        </w:rPr>
        <w:t xml:space="preserve">Rënia ekonomike e parashikuar: </w:t>
      </w:r>
      <w:r w:rsidRPr="00EA1CA4">
        <w:t>Me kusht që rënia ekonomike e vlerësuar në vitet e ardhshme dhe prioritetet konkurruese të financimit, veçanërisht për COVID-19, alokimet për shëndet</w:t>
      </w:r>
      <w:r w:rsidR="008B28D2" w:rsidRPr="00EA1CA4">
        <w:t>ësi</w:t>
      </w:r>
      <w:r w:rsidRPr="00EA1CA4">
        <w:t xml:space="preserve"> në përgjithësi dhe reagimi kombëtar </w:t>
      </w:r>
      <w:r w:rsidR="008B28D2" w:rsidRPr="00EA1CA4">
        <w:t>kundër</w:t>
      </w:r>
      <w:r w:rsidRPr="00EA1CA4">
        <w:t xml:space="preserve"> HIV dhe TB mund të </w:t>
      </w:r>
      <w:r w:rsidR="008B28D2" w:rsidRPr="00EA1CA4">
        <w:t xml:space="preserve">vihet </w:t>
      </w:r>
      <w:r w:rsidRPr="00EA1CA4">
        <w:t xml:space="preserve">në rrezik të lartë. </w:t>
      </w:r>
    </w:p>
    <w:p w:rsidR="00E90EA1" w:rsidRPr="00EA1CA4" w:rsidRDefault="00E90EA1" w:rsidP="00624E04">
      <w:pPr>
        <w:spacing w:line="276" w:lineRule="auto"/>
        <w:jc w:val="both"/>
      </w:pPr>
      <w:r w:rsidRPr="00EA1CA4">
        <w:rPr>
          <w:b/>
        </w:rPr>
        <w:t>Çështjet që duhen trajtuar:</w:t>
      </w:r>
      <w:r w:rsidR="008B28D2" w:rsidRPr="00EA1CA4">
        <w:rPr>
          <w:b/>
        </w:rPr>
        <w:t xml:space="preserve"> </w:t>
      </w:r>
      <w:r w:rsidRPr="00EA1CA4">
        <w:t>Për të siguruar financim të plotë publik për programet kombëtare të sëmundjes, palët e interesuara të programit të TB-së do të: i) intensifikoj</w:t>
      </w:r>
      <w:r w:rsidR="008B28D2" w:rsidRPr="00EA1CA4">
        <w:t>n</w:t>
      </w:r>
      <w:r w:rsidRPr="00EA1CA4">
        <w:t xml:space="preserve">ë avokimin në nivel më të lartë të qeverisë për të përfituar më shumë burime dhe për të lejuar kalimin gradual të financimit të jashtëm të programit të TB; ii) të sigurojë disponueshmërinë e fondeve siç përshkruhet nga Plani Kombëtar i Veprimit Strategjik </w:t>
      </w:r>
      <w:r w:rsidR="008B28D2" w:rsidRPr="00EA1CA4">
        <w:t>kundër</w:t>
      </w:r>
      <w:r w:rsidRPr="00EA1CA4">
        <w:t xml:space="preserve"> TB 2022-2024. </w:t>
      </w:r>
    </w:p>
    <w:p w:rsidR="00B66B69" w:rsidRPr="00EA1CA4" w:rsidRDefault="00B66B69" w:rsidP="00624E04">
      <w:pPr>
        <w:spacing w:line="276" w:lineRule="auto"/>
        <w:jc w:val="both"/>
        <w:rPr>
          <w:b/>
          <w:i/>
        </w:rPr>
      </w:pPr>
    </w:p>
    <w:p w:rsidR="001D39EA" w:rsidRPr="00EA1CA4" w:rsidRDefault="00E90EA1" w:rsidP="001D39EA">
      <w:pPr>
        <w:spacing w:line="276" w:lineRule="auto"/>
        <w:jc w:val="both"/>
      </w:pPr>
      <w:r w:rsidRPr="00EA1CA4">
        <w:rPr>
          <w:b/>
          <w:i/>
        </w:rPr>
        <w:t>Aktivitetet e planifikuara</w:t>
      </w:r>
      <w:r w:rsidRPr="00EA1CA4">
        <w:t xml:space="preserve">: </w:t>
      </w:r>
    </w:p>
    <w:p w:rsidR="001D39EA" w:rsidRPr="00EA1CA4" w:rsidRDefault="001D39EA" w:rsidP="001D39EA">
      <w:pPr>
        <w:spacing w:line="276" w:lineRule="auto"/>
        <w:jc w:val="both"/>
      </w:pPr>
    </w:p>
    <w:p w:rsidR="001D39EA" w:rsidRPr="00EA1CA4" w:rsidRDefault="008B28D2">
      <w:pPr>
        <w:pStyle w:val="ListParagraph"/>
        <w:numPr>
          <w:ilvl w:val="2"/>
          <w:numId w:val="34"/>
        </w:numPr>
        <w:spacing w:line="276" w:lineRule="auto"/>
        <w:jc w:val="both"/>
        <w:rPr>
          <w:rFonts w:ascii="Times New Roman" w:hAnsi="Times New Roman"/>
          <w:sz w:val="24"/>
          <w:szCs w:val="24"/>
          <w:lang w:val="sq-AL"/>
        </w:rPr>
      </w:pPr>
      <w:r w:rsidRPr="00EA1CA4">
        <w:rPr>
          <w:rFonts w:ascii="Times New Roman" w:hAnsi="Times New Roman"/>
          <w:sz w:val="24"/>
          <w:szCs w:val="24"/>
          <w:lang w:val="sq-AL"/>
        </w:rPr>
        <w:t>Intensifikimi i avokimit në nivel më të lartë të qeverisë, për të përfituar dhe shpërndarë burimet e duhura financiare siç përshkruhet në Planin Kombëtar të Veprimit Strategjik kundër TB</w:t>
      </w:r>
    </w:p>
    <w:p w:rsidR="00E90EA1" w:rsidRPr="00EA1CA4" w:rsidRDefault="00E90EA1">
      <w:pPr>
        <w:pStyle w:val="ListParagraph"/>
        <w:numPr>
          <w:ilvl w:val="2"/>
          <w:numId w:val="34"/>
        </w:numPr>
        <w:spacing w:line="276" w:lineRule="auto"/>
        <w:jc w:val="both"/>
        <w:rPr>
          <w:rFonts w:ascii="Times New Roman" w:hAnsi="Times New Roman"/>
          <w:sz w:val="24"/>
          <w:szCs w:val="24"/>
          <w:lang w:val="it-IT"/>
        </w:rPr>
      </w:pPr>
      <w:r w:rsidRPr="00EA1CA4">
        <w:rPr>
          <w:rFonts w:ascii="Times New Roman" w:hAnsi="Times New Roman"/>
          <w:sz w:val="24"/>
          <w:szCs w:val="24"/>
          <w:lang w:val="it-IT"/>
        </w:rPr>
        <w:t>Monitorimi i rregullt i disbursim</w:t>
      </w:r>
      <w:r w:rsidR="008B28D2" w:rsidRPr="00EA1CA4">
        <w:rPr>
          <w:rFonts w:ascii="Times New Roman" w:hAnsi="Times New Roman"/>
          <w:sz w:val="24"/>
          <w:szCs w:val="24"/>
          <w:lang w:val="it-IT"/>
        </w:rPr>
        <w:t xml:space="preserve">eve të qeverisë </w:t>
      </w:r>
      <w:r w:rsidRPr="00EA1CA4">
        <w:rPr>
          <w:rFonts w:ascii="Times New Roman" w:hAnsi="Times New Roman"/>
          <w:sz w:val="24"/>
          <w:szCs w:val="24"/>
          <w:lang w:val="it-IT"/>
        </w:rPr>
        <w:t>dhe shpenzime</w:t>
      </w:r>
      <w:r w:rsidR="008B28D2" w:rsidRPr="00EA1CA4">
        <w:rPr>
          <w:rFonts w:ascii="Times New Roman" w:hAnsi="Times New Roman"/>
          <w:sz w:val="24"/>
          <w:szCs w:val="24"/>
          <w:lang w:val="it-IT"/>
        </w:rPr>
        <w:t xml:space="preserve">ve aktuale </w:t>
      </w:r>
      <w:r w:rsidRPr="00EA1CA4">
        <w:rPr>
          <w:rFonts w:ascii="Times New Roman" w:hAnsi="Times New Roman"/>
          <w:sz w:val="24"/>
          <w:szCs w:val="24"/>
          <w:lang w:val="it-IT"/>
        </w:rPr>
        <w:t>të fondeve publike për programet e TB</w:t>
      </w:r>
      <w:r w:rsidR="008B28D2" w:rsidRPr="00EA1CA4">
        <w:rPr>
          <w:rFonts w:ascii="Times New Roman" w:hAnsi="Times New Roman"/>
          <w:sz w:val="24"/>
          <w:szCs w:val="24"/>
          <w:lang w:val="it-IT"/>
        </w:rPr>
        <w:t>-së</w:t>
      </w:r>
      <w:r w:rsidRPr="00EA1CA4">
        <w:rPr>
          <w:rFonts w:ascii="Times New Roman" w:hAnsi="Times New Roman"/>
          <w:sz w:val="24"/>
          <w:szCs w:val="24"/>
          <w:lang w:val="it-IT"/>
        </w:rPr>
        <w:t>.</w:t>
      </w:r>
    </w:p>
    <w:p w:rsidR="00B66B69" w:rsidRPr="00EA1CA4" w:rsidRDefault="00B66B69" w:rsidP="00624E04">
      <w:pPr>
        <w:spacing w:line="276" w:lineRule="auto"/>
        <w:jc w:val="both"/>
        <w:rPr>
          <w:b/>
        </w:rPr>
      </w:pPr>
    </w:p>
    <w:p w:rsidR="00E90EA1" w:rsidRPr="00EA1CA4" w:rsidRDefault="00E90EA1" w:rsidP="00624E04">
      <w:pPr>
        <w:spacing w:line="276" w:lineRule="auto"/>
        <w:jc w:val="both"/>
        <w:rPr>
          <w:b/>
        </w:rPr>
      </w:pPr>
      <w:r w:rsidRPr="00EA1CA4">
        <w:rPr>
          <w:b/>
        </w:rPr>
        <w:t xml:space="preserve">Objektivi specifik 3: Ndërtimi i sistemeve </w:t>
      </w:r>
      <w:r w:rsidR="008B28D2" w:rsidRPr="00EA1CA4">
        <w:rPr>
          <w:b/>
        </w:rPr>
        <w:t xml:space="preserve">reziliente </w:t>
      </w:r>
      <w:r w:rsidRPr="00EA1CA4">
        <w:rPr>
          <w:b/>
        </w:rPr>
        <w:t>dhe të qëndrueshme për shëndetin</w:t>
      </w:r>
      <w:r w:rsidR="008B28D2" w:rsidRPr="00EA1CA4">
        <w:rPr>
          <w:b/>
        </w:rPr>
        <w:t>,</w:t>
      </w:r>
      <w:r w:rsidRPr="00EA1CA4">
        <w:rPr>
          <w:b/>
        </w:rPr>
        <w:t xml:space="preserve"> për të lehtësuar tranzicionin e qetë dhe zbatimin efektiv të programit kombëtar për TB</w:t>
      </w:r>
    </w:p>
    <w:p w:rsidR="00E90EA1" w:rsidRPr="00EA1CA4" w:rsidRDefault="00E90EA1" w:rsidP="00624E04">
      <w:pPr>
        <w:spacing w:line="276" w:lineRule="auto"/>
        <w:jc w:val="both"/>
      </w:pPr>
    </w:p>
    <w:p w:rsidR="00E90EA1" w:rsidRPr="00EA1CA4" w:rsidRDefault="00E90EA1" w:rsidP="00624E04">
      <w:pPr>
        <w:spacing w:line="276" w:lineRule="auto"/>
        <w:jc w:val="both"/>
        <w:rPr>
          <w:b/>
        </w:rPr>
      </w:pPr>
      <w:r w:rsidRPr="00EA1CA4">
        <w:rPr>
          <w:b/>
        </w:rPr>
        <w:t>Rezultati 3.1. Institucionalizimi i një mekanizmi për kontraktimin e OSHC-ve për të ofruar shërbime për HIV dhe TB</w:t>
      </w:r>
    </w:p>
    <w:p w:rsidR="00E90EA1" w:rsidRPr="00EA1CA4" w:rsidRDefault="00E90EA1" w:rsidP="00624E04">
      <w:pPr>
        <w:spacing w:line="276" w:lineRule="auto"/>
        <w:jc w:val="both"/>
        <w:rPr>
          <w:b/>
        </w:rPr>
      </w:pPr>
    </w:p>
    <w:p w:rsidR="00E90EA1" w:rsidRPr="00EA1CA4" w:rsidRDefault="00E90EA1" w:rsidP="00624E04">
      <w:pPr>
        <w:spacing w:line="276" w:lineRule="auto"/>
        <w:jc w:val="both"/>
      </w:pPr>
      <w:r w:rsidRPr="00EA1CA4">
        <w:rPr>
          <w:b/>
          <w:bCs/>
        </w:rPr>
        <w:t xml:space="preserve">Mangësitë e rregullores së financimit të OSHC-ve: </w:t>
      </w:r>
      <w:r w:rsidRPr="00EA1CA4">
        <w:rPr>
          <w:bCs/>
        </w:rPr>
        <w:t xml:space="preserve">Zhvendosja e ofrimit të shërbimeve për TB nga kujdesi </w:t>
      </w:r>
      <w:r w:rsidR="004066A4" w:rsidRPr="00EA1CA4">
        <w:rPr>
          <w:bCs/>
        </w:rPr>
        <w:t>spitalor</w:t>
      </w:r>
      <w:r w:rsidRPr="00EA1CA4">
        <w:rPr>
          <w:bCs/>
        </w:rPr>
        <w:t xml:space="preserve"> drejt modeleve ambulatore të kujdesit </w:t>
      </w:r>
      <w:r w:rsidR="004066A4" w:rsidRPr="00EA1CA4">
        <w:rPr>
          <w:bCs/>
        </w:rPr>
        <w:t xml:space="preserve">shëndetësor me në qendër </w:t>
      </w:r>
      <w:r w:rsidRPr="00EA1CA4">
        <w:rPr>
          <w:bCs/>
        </w:rPr>
        <w:t xml:space="preserve">njerëzit kërkon një angazhim më të madh të organizatave të shoqërisë civile dhe komuniteteve të TB. Prandaj, vendet që kalojnë nga financimi i </w:t>
      </w:r>
      <w:r w:rsidR="004066A4" w:rsidRPr="00EA1CA4">
        <w:rPr>
          <w:bCs/>
        </w:rPr>
        <w:t>F</w:t>
      </w:r>
      <w:r w:rsidRPr="00EA1CA4">
        <w:rPr>
          <w:bCs/>
        </w:rPr>
        <w:t xml:space="preserve">G-së duhet të krijojnë një mjedis të favorshëm ligjor dhe politik që </w:t>
      </w:r>
      <w:r w:rsidRPr="00EA1CA4">
        <w:rPr>
          <w:bCs/>
        </w:rPr>
        <w:lastRenderedPageBreak/>
        <w:t xml:space="preserve">mbështet kontraktimin e OSHC-ve </w:t>
      </w:r>
      <w:r w:rsidR="004066A4" w:rsidRPr="00EA1CA4">
        <w:rPr>
          <w:bCs/>
        </w:rPr>
        <w:t xml:space="preserve">sipas </w:t>
      </w:r>
      <w:r w:rsidRPr="00EA1CA4">
        <w:rPr>
          <w:bCs/>
        </w:rPr>
        <w:t>fondi</w:t>
      </w:r>
      <w:r w:rsidR="004066A4" w:rsidRPr="00EA1CA4">
        <w:rPr>
          <w:bCs/>
        </w:rPr>
        <w:t>t</w:t>
      </w:r>
      <w:r w:rsidRPr="00EA1CA4">
        <w:rPr>
          <w:bCs/>
        </w:rPr>
        <w:t xml:space="preserve"> publik. Në vitin 2019, Qeveria e Kosovës ka zhvilluar strategjinë e dytë për bashkëpunim me shoqërinë civile</w:t>
      </w:r>
      <w:r w:rsidRPr="00EA1CA4">
        <w:t>.</w:t>
      </w:r>
      <w:r w:rsidRPr="00EA1CA4">
        <w:rPr>
          <w:vertAlign w:val="superscript"/>
        </w:rPr>
        <w:footnoteReference w:id="56"/>
      </w:r>
      <w:r w:rsidRPr="00EA1CA4">
        <w:t xml:space="preserve"> Strategjia ka katër objektiva strategjikë, duke përfshirë rritjen e llogaridhënies dhe transparencës në financimin publik të OSHC-ve dhe zhvillimin e praktikave dhe procedurave për financimin publik të OSHC-ve. Strategjia ka një Plan Veprimi shoqërues për vitet 2019-2021, i cili përfshin aktivitete në lidhje me përmirësimin e legjislacionit që rregullon standardet dhe procedurat për ofrimin e shërbimeve publike nga OSHC-të. Rregullorja 04/2017 mbi kriteret, standardet dhe procedurat financimi</w:t>
      </w:r>
      <w:r w:rsidR="004066A4" w:rsidRPr="00EA1CA4">
        <w:t>t</w:t>
      </w:r>
      <w:r w:rsidRPr="00EA1CA4">
        <w:t xml:space="preserve"> publik të O</w:t>
      </w:r>
      <w:r w:rsidR="004066A4" w:rsidRPr="00EA1CA4">
        <w:t>SHC</w:t>
      </w:r>
      <w:r w:rsidRPr="00EA1CA4">
        <w:t>-ve</w:t>
      </w:r>
      <w:bookmarkStart w:id="52" w:name="_Ref82372911"/>
      <w:r w:rsidRPr="00EA1CA4">
        <w:rPr>
          <w:rStyle w:val="FootnoteReference"/>
        </w:rPr>
        <w:footnoteReference w:id="57"/>
      </w:r>
      <w:bookmarkEnd w:id="52"/>
      <w:r w:rsidRPr="00EA1CA4">
        <w:t xml:space="preserve"> ofron një kuadër ligjor të unifikuar dhe udhëzon shpërndarjen e fondeve publike për OSHC-të në të gjitha institucionet dhe agjencitë qeveritare, si dhe promovon një mekanizëm granti bazuar në ligjin e prokurimit publik. Kjo e fundit kërkon një proces tenderimi</w:t>
      </w:r>
      <w:r w:rsidR="004066A4" w:rsidRPr="00EA1CA4">
        <w:t>,</w:t>
      </w:r>
      <w:r w:rsidRPr="00EA1CA4">
        <w:t xml:space="preserve"> ku vendimet për dhënien e grantit bazohen në koston më të ulët të propoz</w:t>
      </w:r>
      <w:r w:rsidR="004066A4" w:rsidRPr="00EA1CA4">
        <w:t>uar</w:t>
      </w:r>
      <w:r w:rsidRPr="00EA1CA4">
        <w:t>.</w:t>
      </w:r>
    </w:p>
    <w:p w:rsidR="00E90EA1" w:rsidRPr="00EA1CA4" w:rsidRDefault="00E90EA1" w:rsidP="00624E04">
      <w:pPr>
        <w:spacing w:line="276" w:lineRule="auto"/>
        <w:jc w:val="both"/>
      </w:pPr>
      <w:r w:rsidRPr="00EA1CA4">
        <w:t xml:space="preserve">Qeveria është e përkushtuar të mbështesë angazhimin e OSHC-ve në shëndetësi. Në prill 2018, MSH </w:t>
      </w:r>
      <w:r w:rsidR="004066A4" w:rsidRPr="00EA1CA4">
        <w:t xml:space="preserve">për herë të parë </w:t>
      </w:r>
      <w:r w:rsidRPr="00EA1CA4">
        <w:t>përdori një proces të ri të rregulluar nga Rregullorja 04/2017 për të shpërndarë grante për 36 OSHC që operojnë në sektorin e shëndetësisë.</w:t>
      </w:r>
      <w:r w:rsidRPr="00EA1CA4">
        <w:rPr>
          <w:rStyle w:val="FootnoteReference"/>
        </w:rPr>
        <w:footnoteReference w:id="58"/>
      </w:r>
      <w:r w:rsidRPr="00EA1CA4">
        <w:t xml:space="preserve"> Megjithatë, fondet e alokuara fillimisht për këtë aktivitet janë vënë pjesërisht në dispozicion</w:t>
      </w:r>
      <w:r w:rsidR="004066A4" w:rsidRPr="00EA1CA4">
        <w:t>,</w:t>
      </w:r>
      <w:r w:rsidRPr="00EA1CA4">
        <w:t xml:space="preserve"> duke rezultuar në ofrimin e granteve të vogla për një kohë të kufizuar për OSHC-të fituese. Financimi i skemës së granteve nuk përcakton alokime </w:t>
      </w:r>
      <w:r w:rsidR="004066A4" w:rsidRPr="00EA1CA4">
        <w:t xml:space="preserve">të veçanta </w:t>
      </w:r>
      <w:r w:rsidRPr="00EA1CA4">
        <w:t xml:space="preserve">për programet e HIV dhe TB për të siguruar vazhdimësinë e shërbimeve të mbështetura nga </w:t>
      </w:r>
      <w:r w:rsidR="004066A4" w:rsidRPr="00EA1CA4">
        <w:t>F</w:t>
      </w:r>
      <w:r w:rsidRPr="00EA1CA4">
        <w:t xml:space="preserve">G të ofruara nga OSHC-të. Ekziston nevoja për zhvillimin e një mekanizmi alternativ financimi që do të mundësojë arritjen e objektivave strategjikë të </w:t>
      </w:r>
      <w:r w:rsidR="004066A4" w:rsidRPr="00EA1CA4">
        <w:t xml:space="preserve">reagimit </w:t>
      </w:r>
      <w:r w:rsidRPr="00EA1CA4">
        <w:t>kombëtar</w:t>
      </w:r>
      <w:r w:rsidR="004066A4" w:rsidRPr="00EA1CA4">
        <w:t xml:space="preserve"> kundër</w:t>
      </w:r>
      <w:r w:rsidRPr="00EA1CA4">
        <w:t xml:space="preserve"> HIV dhe TB. Më konkretisht, kërkohet kuad</w:t>
      </w:r>
      <w:r w:rsidR="004066A4" w:rsidRPr="00EA1CA4">
        <w:t>ër</w:t>
      </w:r>
      <w:r w:rsidRPr="00EA1CA4">
        <w:t xml:space="preserve"> i ri ligjor dhe rregullator i cili do të </w:t>
      </w:r>
      <w:r w:rsidR="004066A4" w:rsidRPr="00EA1CA4">
        <w:t>mundësojë</w:t>
      </w:r>
      <w:r w:rsidRPr="00EA1CA4">
        <w:t xml:space="preserve"> kontraktimin e shërbimeve të ofruara nga OSHC-të.</w:t>
      </w:r>
    </w:p>
    <w:p w:rsidR="00E90EA1" w:rsidRPr="00EA1CA4" w:rsidRDefault="00E90EA1" w:rsidP="00624E04">
      <w:pPr>
        <w:spacing w:line="276" w:lineRule="auto"/>
        <w:jc w:val="both"/>
      </w:pPr>
      <w:r w:rsidRPr="00EA1CA4">
        <w:rPr>
          <w:b/>
          <w:bCs/>
        </w:rPr>
        <w:t xml:space="preserve">Mekanizmi kontraktues i OSHC-ve duhet të vërtetohet me ndryshime përkatëse në legjislacion: </w:t>
      </w:r>
      <w:r w:rsidR="004066A4" w:rsidRPr="00EA1CA4">
        <w:rPr>
          <w:bCs/>
        </w:rPr>
        <w:t xml:space="preserve">Aplikimi i </w:t>
      </w:r>
      <w:r w:rsidRPr="00EA1CA4">
        <w:lastRenderedPageBreak/>
        <w:t>mekanizmit të kontraktimit të OSHC</w:t>
      </w:r>
      <w:r w:rsidR="004066A4" w:rsidRPr="00EA1CA4">
        <w:t>-ve kërkon rishikimin e ligjit p</w:t>
      </w:r>
      <w:r w:rsidRPr="00EA1CA4">
        <w:t>ë</w:t>
      </w:r>
      <w:r w:rsidR="004066A4" w:rsidRPr="00EA1CA4">
        <w:t>r</w:t>
      </w:r>
      <w:r w:rsidRPr="00EA1CA4">
        <w:t xml:space="preserve"> shëndetësi dhe zhvillimin e rregulloreve përkatëse. Ligji për Shëndetësinë nuk e pranon opsionin e kontraktimit të OSHC-ve për të ofruar shërbime shëndetësore në emër të MSH-së. </w:t>
      </w:r>
      <w:r w:rsidR="004066A4" w:rsidRPr="00EA1CA4">
        <w:t>L</w:t>
      </w:r>
      <w:r w:rsidRPr="00EA1CA4">
        <w:t xml:space="preserve">igji nuk parashikon </w:t>
      </w:r>
      <w:r w:rsidR="004066A4" w:rsidRPr="00EA1CA4">
        <w:t xml:space="preserve">as </w:t>
      </w:r>
      <w:r w:rsidRPr="00EA1CA4">
        <w:t>licencimin e organizatave joqeveritare si ofrues të shërbimeve në sektorin e shëndetësisë.</w:t>
      </w:r>
      <w:bookmarkStart w:id="53" w:name="_Ref82372992"/>
      <w:r w:rsidRPr="00EA1CA4">
        <w:rPr>
          <w:rStyle w:val="FootnoteReference"/>
        </w:rPr>
        <w:footnoteReference w:id="59"/>
      </w:r>
      <w:bookmarkEnd w:id="53"/>
    </w:p>
    <w:p w:rsidR="00E90EA1" w:rsidRPr="00EA1CA4" w:rsidRDefault="00E90EA1" w:rsidP="00624E04">
      <w:pPr>
        <w:spacing w:line="276" w:lineRule="auto"/>
        <w:jc w:val="both"/>
      </w:pPr>
      <w:r w:rsidRPr="00EA1CA4">
        <w:rPr>
          <w:color w:val="000000"/>
        </w:rPr>
        <w:t xml:space="preserve">Për të minimizuar barrierat e </w:t>
      </w:r>
      <w:r w:rsidR="004066A4" w:rsidRPr="00EA1CA4">
        <w:rPr>
          <w:color w:val="000000"/>
        </w:rPr>
        <w:t>qasjes s</w:t>
      </w:r>
      <w:r w:rsidRPr="00EA1CA4">
        <w:rPr>
          <w:color w:val="000000"/>
        </w:rPr>
        <w:t>ë OSHC-ve n</w:t>
      </w:r>
      <w:r w:rsidR="004066A4" w:rsidRPr="00EA1CA4">
        <w:rPr>
          <w:color w:val="000000"/>
        </w:rPr>
        <w:t>ë</w:t>
      </w:r>
      <w:r w:rsidRPr="00EA1CA4">
        <w:rPr>
          <w:color w:val="000000"/>
        </w:rPr>
        <w:t xml:space="preserve"> financim publik, është e këshillueshme që të studiohet ndikimi i mundshëm i licencimit të OSHC-ve, të përpunohen kërkesat e licencimit me synimin për të minimizuar barrierat e </w:t>
      </w:r>
      <w:r w:rsidR="004066A4" w:rsidRPr="00EA1CA4">
        <w:rPr>
          <w:color w:val="000000"/>
        </w:rPr>
        <w:t xml:space="preserve">qasjes në </w:t>
      </w:r>
      <w:r w:rsidRPr="00EA1CA4">
        <w:rPr>
          <w:color w:val="000000"/>
        </w:rPr>
        <w:t>financ</w:t>
      </w:r>
      <w:r w:rsidR="004066A4" w:rsidRPr="00EA1CA4">
        <w:rPr>
          <w:color w:val="000000"/>
        </w:rPr>
        <w:t>a</w:t>
      </w:r>
      <w:r w:rsidRPr="00EA1CA4">
        <w:rPr>
          <w:color w:val="000000"/>
        </w:rPr>
        <w:t xml:space="preserve"> publik</w:t>
      </w:r>
      <w:r w:rsidR="004066A4" w:rsidRPr="00EA1CA4">
        <w:rPr>
          <w:color w:val="000000"/>
        </w:rPr>
        <w:t>e</w:t>
      </w:r>
      <w:r w:rsidRPr="00EA1CA4">
        <w:rPr>
          <w:color w:val="000000"/>
        </w:rPr>
        <w:t xml:space="preserve"> të </w:t>
      </w:r>
      <w:r w:rsidR="004066A4" w:rsidRPr="00EA1CA4">
        <w:rPr>
          <w:color w:val="000000"/>
        </w:rPr>
        <w:t>OSHC-ve të reja</w:t>
      </w:r>
      <w:r w:rsidRPr="00EA1CA4">
        <w:rPr>
          <w:color w:val="000000"/>
        </w:rPr>
        <w:t xml:space="preserve">, më pak të pjekura dhe me më pak përvojë (për më shumë detaje shihni Planin e Tranzicionit dhe Qëndrueshmërisë, Objektivi 4). </w:t>
      </w:r>
    </w:p>
    <w:p w:rsidR="004066A4" w:rsidRPr="00EA1CA4" w:rsidRDefault="004066A4" w:rsidP="00624E04">
      <w:pPr>
        <w:spacing w:line="276" w:lineRule="auto"/>
        <w:jc w:val="both"/>
        <w:rPr>
          <w:b/>
          <w:i/>
          <w:color w:val="000000"/>
        </w:rPr>
      </w:pPr>
    </w:p>
    <w:p w:rsidR="001D39EA" w:rsidRPr="00EA1CA4" w:rsidRDefault="00E90EA1" w:rsidP="001D39EA">
      <w:pPr>
        <w:spacing w:line="276" w:lineRule="auto"/>
        <w:jc w:val="both"/>
        <w:rPr>
          <w:b/>
          <w:i/>
          <w:color w:val="000000"/>
        </w:rPr>
      </w:pPr>
      <w:r w:rsidRPr="00EA1CA4">
        <w:rPr>
          <w:b/>
          <w:i/>
          <w:color w:val="000000"/>
        </w:rPr>
        <w:t xml:space="preserve">Aktivitetet e planifikuara: </w:t>
      </w:r>
    </w:p>
    <w:p w:rsidR="001D39EA" w:rsidRPr="00EA1CA4" w:rsidRDefault="001D39EA" w:rsidP="001D39EA">
      <w:pPr>
        <w:spacing w:line="276" w:lineRule="auto"/>
        <w:jc w:val="both"/>
        <w:rPr>
          <w:b/>
          <w:i/>
          <w:color w:val="000000"/>
        </w:rPr>
      </w:pPr>
    </w:p>
    <w:p w:rsidR="001D39EA" w:rsidRPr="00EA1CA4" w:rsidRDefault="00E90EA1">
      <w:pPr>
        <w:pStyle w:val="ListParagraph"/>
        <w:numPr>
          <w:ilvl w:val="2"/>
          <w:numId w:val="35"/>
        </w:numPr>
        <w:spacing w:line="276" w:lineRule="auto"/>
        <w:jc w:val="both"/>
        <w:rPr>
          <w:rFonts w:ascii="Times New Roman" w:hAnsi="Times New Roman"/>
          <w:b/>
          <w:i/>
          <w:color w:val="000000"/>
          <w:sz w:val="24"/>
          <w:szCs w:val="24"/>
          <w:lang w:val="sq-AL"/>
        </w:rPr>
      </w:pPr>
      <w:r w:rsidRPr="00EA1CA4">
        <w:rPr>
          <w:rFonts w:ascii="Times New Roman" w:hAnsi="Times New Roman"/>
          <w:color w:val="000000"/>
          <w:sz w:val="24"/>
          <w:szCs w:val="24"/>
          <w:lang w:val="sq-AL"/>
        </w:rPr>
        <w:t xml:space="preserve">Zhvillimi, pilotimi dhe miratimi i mekanizmit kontraktues të OSHC-ve për </w:t>
      </w:r>
      <w:r w:rsidR="00720C24" w:rsidRPr="00EA1CA4">
        <w:rPr>
          <w:rFonts w:ascii="Times New Roman" w:hAnsi="Times New Roman"/>
          <w:color w:val="000000"/>
          <w:sz w:val="24"/>
          <w:szCs w:val="24"/>
          <w:lang w:val="sq-AL"/>
        </w:rPr>
        <w:t xml:space="preserve">të ofruar </w:t>
      </w:r>
      <w:r w:rsidRPr="00EA1CA4">
        <w:rPr>
          <w:rFonts w:ascii="Times New Roman" w:hAnsi="Times New Roman"/>
          <w:color w:val="000000"/>
          <w:sz w:val="24"/>
          <w:szCs w:val="24"/>
          <w:lang w:val="sq-AL"/>
        </w:rPr>
        <w:t xml:space="preserve">shërbime </w:t>
      </w:r>
      <w:r w:rsidR="00720C24" w:rsidRPr="00EA1CA4">
        <w:rPr>
          <w:rFonts w:ascii="Times New Roman" w:hAnsi="Times New Roman"/>
          <w:color w:val="000000"/>
          <w:sz w:val="24"/>
          <w:szCs w:val="24"/>
          <w:lang w:val="sq-AL"/>
        </w:rPr>
        <w:t>për</w:t>
      </w:r>
      <w:r w:rsidRPr="00EA1CA4">
        <w:rPr>
          <w:rFonts w:ascii="Times New Roman" w:hAnsi="Times New Roman"/>
          <w:color w:val="000000"/>
          <w:sz w:val="24"/>
          <w:szCs w:val="24"/>
          <w:lang w:val="sq-AL"/>
        </w:rPr>
        <w:t xml:space="preserve"> HIV</w:t>
      </w:r>
      <w:r w:rsidR="00720C24" w:rsidRPr="00EA1CA4">
        <w:rPr>
          <w:rFonts w:ascii="Times New Roman" w:hAnsi="Times New Roman"/>
          <w:color w:val="000000"/>
          <w:sz w:val="24"/>
          <w:szCs w:val="24"/>
          <w:lang w:val="sq-AL"/>
        </w:rPr>
        <w:t xml:space="preserve"> dhe T</w:t>
      </w:r>
      <w:r w:rsidRPr="00EA1CA4">
        <w:rPr>
          <w:rFonts w:ascii="Times New Roman" w:hAnsi="Times New Roman"/>
          <w:color w:val="000000"/>
          <w:sz w:val="24"/>
          <w:szCs w:val="24"/>
          <w:lang w:val="sq-AL"/>
        </w:rPr>
        <w:t>B të ofruara nga OSHC-të</w:t>
      </w:r>
    </w:p>
    <w:p w:rsidR="001D39EA" w:rsidRPr="00EA1CA4" w:rsidRDefault="00720C24">
      <w:pPr>
        <w:pStyle w:val="ListParagraph"/>
        <w:numPr>
          <w:ilvl w:val="2"/>
          <w:numId w:val="35"/>
        </w:numPr>
        <w:spacing w:line="276" w:lineRule="auto"/>
        <w:jc w:val="both"/>
        <w:rPr>
          <w:rFonts w:ascii="Times New Roman" w:hAnsi="Times New Roman"/>
          <w:b/>
          <w:i/>
          <w:color w:val="000000"/>
          <w:sz w:val="24"/>
          <w:szCs w:val="24"/>
          <w:lang w:val="sq-AL"/>
        </w:rPr>
      </w:pPr>
      <w:r w:rsidRPr="00EA1CA4">
        <w:rPr>
          <w:rFonts w:ascii="Times New Roman" w:hAnsi="Times New Roman"/>
          <w:sz w:val="24"/>
          <w:szCs w:val="24"/>
          <w:lang w:val="sq-AL"/>
        </w:rPr>
        <w:t>Hartimi dhe dorëzimi në MSH i propozimit të ndryshimeve në Ligjin për Shëndetësinë, që përfshin nenet për kontraktimin dhe licencimin e OSHC-ve (nëse është e zbatueshme) për të ofruar shërbime në sektorin shëndetësor, duke përfshirë shërbimet e TB-së dhe HIV-it, dhe shërbimeve të TB-së, si dhe ofrimin e asistencës teknike</w:t>
      </w:r>
      <w:r w:rsidR="00E90EA1" w:rsidRPr="00EA1CA4">
        <w:rPr>
          <w:rFonts w:ascii="Times New Roman" w:hAnsi="Times New Roman"/>
          <w:sz w:val="24"/>
          <w:szCs w:val="24"/>
          <w:lang w:val="sq-AL"/>
        </w:rPr>
        <w:t>.</w:t>
      </w:r>
    </w:p>
    <w:p w:rsidR="001D39EA" w:rsidRPr="00EA1CA4" w:rsidRDefault="00720C24">
      <w:pPr>
        <w:pStyle w:val="ListParagraph"/>
        <w:numPr>
          <w:ilvl w:val="2"/>
          <w:numId w:val="35"/>
        </w:numPr>
        <w:spacing w:line="276" w:lineRule="auto"/>
        <w:jc w:val="both"/>
        <w:rPr>
          <w:rFonts w:ascii="Times New Roman" w:hAnsi="Times New Roman"/>
          <w:b/>
          <w:i/>
          <w:color w:val="000000"/>
          <w:sz w:val="24"/>
          <w:szCs w:val="24"/>
          <w:lang w:val="sq-AL"/>
        </w:rPr>
      </w:pPr>
      <w:r w:rsidRPr="00EA1CA4">
        <w:rPr>
          <w:rFonts w:ascii="Times New Roman" w:hAnsi="Times New Roman"/>
          <w:sz w:val="24"/>
          <w:szCs w:val="24"/>
          <w:lang w:val="sq-AL"/>
        </w:rPr>
        <w:t>Hartimi dhe zbatimi i legjislacionit sekondar përkatës që përkufizon procedurat për të siguruar qasjen e OSHC-ve në fonde publike për të ofruar shërbime shëndetësore specifike siç përcaktohen nga MSH, duke përfshirë shërbimet për TB dhe HIV</w:t>
      </w:r>
      <w:r w:rsidR="00E90EA1" w:rsidRPr="00EA1CA4">
        <w:rPr>
          <w:rFonts w:ascii="Times New Roman" w:hAnsi="Times New Roman"/>
          <w:sz w:val="24"/>
          <w:szCs w:val="24"/>
          <w:lang w:val="sq-AL"/>
        </w:rPr>
        <w:t xml:space="preserve">. </w:t>
      </w:r>
    </w:p>
    <w:p w:rsidR="001D39EA" w:rsidRPr="00EA1CA4" w:rsidRDefault="00720C24">
      <w:pPr>
        <w:pStyle w:val="ListParagraph"/>
        <w:numPr>
          <w:ilvl w:val="2"/>
          <w:numId w:val="35"/>
        </w:numPr>
        <w:spacing w:line="276" w:lineRule="auto"/>
        <w:jc w:val="both"/>
        <w:rPr>
          <w:rFonts w:ascii="Times New Roman" w:hAnsi="Times New Roman"/>
          <w:b/>
          <w:i/>
          <w:color w:val="000000"/>
          <w:sz w:val="24"/>
          <w:szCs w:val="24"/>
          <w:lang w:val="sq-AL"/>
        </w:rPr>
      </w:pPr>
      <w:r w:rsidRPr="00EA1CA4">
        <w:rPr>
          <w:rFonts w:ascii="Times New Roman" w:hAnsi="Times New Roman"/>
          <w:sz w:val="24"/>
          <w:szCs w:val="24"/>
          <w:lang w:val="sq-AL"/>
        </w:rPr>
        <w:t>Përcaktimi i mekanizmave të mundshëm për ndarjen e fondeve të dedikuara për kontraktimin e OSHC-ve për ofrimin e shërbimit të TB-së</w:t>
      </w:r>
      <w:r w:rsidR="00E90EA1" w:rsidRPr="00EA1CA4">
        <w:rPr>
          <w:rFonts w:ascii="Times New Roman" w:hAnsi="Times New Roman"/>
          <w:sz w:val="24"/>
          <w:szCs w:val="24"/>
          <w:lang w:val="sq-AL"/>
        </w:rPr>
        <w:t xml:space="preserve"> </w:t>
      </w:r>
    </w:p>
    <w:p w:rsidR="001D39EA" w:rsidRPr="00EA1CA4" w:rsidRDefault="00720C24">
      <w:pPr>
        <w:pStyle w:val="ListParagraph"/>
        <w:numPr>
          <w:ilvl w:val="2"/>
          <w:numId w:val="35"/>
        </w:numPr>
        <w:spacing w:line="276" w:lineRule="auto"/>
        <w:jc w:val="both"/>
        <w:rPr>
          <w:rFonts w:ascii="Times New Roman" w:hAnsi="Times New Roman"/>
          <w:b/>
          <w:i/>
          <w:color w:val="000000"/>
          <w:sz w:val="24"/>
          <w:szCs w:val="24"/>
          <w:lang w:val="sq-AL"/>
        </w:rPr>
      </w:pPr>
      <w:r w:rsidRPr="00EA1CA4">
        <w:rPr>
          <w:rFonts w:ascii="Times New Roman" w:hAnsi="Times New Roman"/>
          <w:sz w:val="24"/>
          <w:szCs w:val="24"/>
          <w:lang w:val="sq-AL"/>
        </w:rPr>
        <w:t>Hartimi/rishikimi dhe miratimi i një pakoje standarde të shërbimeve që do të ofrohen nga OSHC-të për programet e TB-së, dhe përcaktimi i kostos për çdo pacient/klient</w:t>
      </w:r>
      <w:r w:rsidR="00E90EA1" w:rsidRPr="00EA1CA4">
        <w:rPr>
          <w:rFonts w:ascii="Times New Roman" w:hAnsi="Times New Roman"/>
          <w:sz w:val="24"/>
          <w:szCs w:val="24"/>
          <w:lang w:val="sq-AL"/>
        </w:rPr>
        <w:t xml:space="preserve"> </w:t>
      </w:r>
    </w:p>
    <w:p w:rsidR="001D39EA" w:rsidRPr="00EA1CA4" w:rsidRDefault="00720C24">
      <w:pPr>
        <w:pStyle w:val="ListParagraph"/>
        <w:numPr>
          <w:ilvl w:val="2"/>
          <w:numId w:val="35"/>
        </w:numPr>
        <w:spacing w:line="276" w:lineRule="auto"/>
        <w:jc w:val="both"/>
        <w:rPr>
          <w:rFonts w:ascii="Times New Roman" w:hAnsi="Times New Roman"/>
          <w:b/>
          <w:i/>
          <w:color w:val="000000"/>
          <w:sz w:val="24"/>
          <w:szCs w:val="24"/>
          <w:lang w:val="sq-AL"/>
        </w:rPr>
      </w:pPr>
      <w:r w:rsidRPr="00EA1CA4">
        <w:rPr>
          <w:rFonts w:ascii="Times New Roman" w:hAnsi="Times New Roman"/>
          <w:color w:val="000000"/>
          <w:sz w:val="24"/>
          <w:szCs w:val="24"/>
          <w:lang w:val="sq-AL"/>
        </w:rPr>
        <w:lastRenderedPageBreak/>
        <w:t>Avokimi i nivelit të lartë për mobilizimin e burimeve shtesë për kontraktimin e OSHC-ve për shërbimet e TB-së</w:t>
      </w:r>
      <w:r w:rsidR="00E90EA1" w:rsidRPr="00EA1CA4">
        <w:rPr>
          <w:rFonts w:ascii="Times New Roman" w:hAnsi="Times New Roman"/>
          <w:color w:val="000000"/>
          <w:sz w:val="24"/>
          <w:szCs w:val="24"/>
          <w:lang w:val="sq-AL"/>
        </w:rPr>
        <w:t xml:space="preserve"> </w:t>
      </w:r>
    </w:p>
    <w:p w:rsidR="00E90EA1" w:rsidRPr="00EA1CA4" w:rsidRDefault="00E90EA1">
      <w:pPr>
        <w:pStyle w:val="ListParagraph"/>
        <w:numPr>
          <w:ilvl w:val="2"/>
          <w:numId w:val="35"/>
        </w:numPr>
        <w:spacing w:line="276" w:lineRule="auto"/>
        <w:jc w:val="both"/>
        <w:rPr>
          <w:rFonts w:ascii="Times New Roman" w:hAnsi="Times New Roman"/>
          <w:b/>
          <w:i/>
          <w:color w:val="000000"/>
          <w:sz w:val="24"/>
          <w:szCs w:val="24"/>
          <w:lang w:val="sq-AL"/>
        </w:rPr>
      </w:pPr>
      <w:r w:rsidRPr="00EA1CA4">
        <w:rPr>
          <w:rFonts w:ascii="Times New Roman" w:hAnsi="Times New Roman"/>
          <w:color w:val="000000"/>
          <w:sz w:val="24"/>
          <w:szCs w:val="24"/>
          <w:lang w:val="sq-AL"/>
        </w:rPr>
        <w:t xml:space="preserve">Ndërtimi i kapaciteteve të OSHC-ve dhe MSH-së në procedurat e kontraktimit të OSHC-ve. </w:t>
      </w:r>
    </w:p>
    <w:p w:rsidR="00E90EA1" w:rsidRPr="00EA1CA4" w:rsidRDefault="00E90EA1" w:rsidP="00624E04">
      <w:pPr>
        <w:pStyle w:val="ListParagraph"/>
        <w:spacing w:after="0" w:line="276" w:lineRule="auto"/>
        <w:ind w:left="1080"/>
        <w:jc w:val="both"/>
        <w:rPr>
          <w:rFonts w:ascii="Times New Roman" w:hAnsi="Times New Roman"/>
          <w:color w:val="000000"/>
          <w:sz w:val="24"/>
          <w:szCs w:val="24"/>
          <w:lang w:val="sq-AL"/>
        </w:rPr>
      </w:pPr>
    </w:p>
    <w:p w:rsidR="00E90EA1" w:rsidRPr="00EA1CA4" w:rsidRDefault="00E90EA1" w:rsidP="00624E04">
      <w:pPr>
        <w:spacing w:line="276" w:lineRule="auto"/>
        <w:jc w:val="both"/>
        <w:rPr>
          <w:b/>
        </w:rPr>
      </w:pPr>
      <w:r w:rsidRPr="00EA1CA4">
        <w:rPr>
          <w:b/>
        </w:rPr>
        <w:t xml:space="preserve">Rezultati 3.2 Sigurimi i furnizimit të vazhdueshëm </w:t>
      </w:r>
      <w:r w:rsidR="00720C24" w:rsidRPr="00EA1CA4">
        <w:rPr>
          <w:b/>
        </w:rPr>
        <w:t>me</w:t>
      </w:r>
      <w:r w:rsidRPr="00EA1CA4">
        <w:rPr>
          <w:b/>
        </w:rPr>
        <w:t xml:space="preserve"> barna dhe produkteve shëndetësore cilësore dhe të përballueshme përmes forcimit të sistemit </w:t>
      </w:r>
      <w:r w:rsidR="00720C24" w:rsidRPr="00EA1CA4">
        <w:rPr>
          <w:b/>
        </w:rPr>
        <w:t>MZFP</w:t>
      </w:r>
      <w:r w:rsidRPr="00EA1CA4">
        <w:rPr>
          <w:b/>
        </w:rPr>
        <w:t xml:space="preserve"> </w:t>
      </w:r>
    </w:p>
    <w:p w:rsidR="00E90EA1" w:rsidRPr="00EA1CA4" w:rsidRDefault="00E90EA1" w:rsidP="00624E04">
      <w:pPr>
        <w:spacing w:line="276" w:lineRule="auto"/>
        <w:jc w:val="both"/>
        <w:rPr>
          <w:b/>
        </w:rPr>
      </w:pPr>
    </w:p>
    <w:p w:rsidR="00E90EA1" w:rsidRPr="00EA1CA4" w:rsidRDefault="00E90EA1" w:rsidP="00624E04">
      <w:pPr>
        <w:spacing w:line="276" w:lineRule="auto"/>
        <w:jc w:val="both"/>
        <w:rPr>
          <w:iCs/>
          <w:color w:val="000000"/>
        </w:rPr>
      </w:pPr>
      <w:r w:rsidRPr="00EA1CA4">
        <w:rPr>
          <w:b/>
          <w:color w:val="000000"/>
        </w:rPr>
        <w:t xml:space="preserve">Furnizimi i pandërprerë i ilaçeve kundër TB dhe materialeve </w:t>
      </w:r>
      <w:r w:rsidR="00720C24" w:rsidRPr="00EA1CA4">
        <w:rPr>
          <w:b/>
          <w:color w:val="000000"/>
        </w:rPr>
        <w:t>shpenzuese</w:t>
      </w:r>
      <w:r w:rsidRPr="00EA1CA4">
        <w:rPr>
          <w:b/>
          <w:color w:val="000000"/>
        </w:rPr>
        <w:t>:</w:t>
      </w:r>
      <w:r w:rsidRPr="00EA1CA4">
        <w:rPr>
          <w:color w:val="000000"/>
        </w:rPr>
        <w:t xml:space="preserve"> Qeveria e Kosovës është përkushtuar që të sigurojë furnizim të pandërprerë të barnave kundër </w:t>
      </w:r>
      <w:r w:rsidR="00720C24" w:rsidRPr="00EA1CA4">
        <w:rPr>
          <w:color w:val="000000"/>
        </w:rPr>
        <w:t>TB</w:t>
      </w:r>
      <w:r w:rsidRPr="00EA1CA4">
        <w:rPr>
          <w:color w:val="000000"/>
        </w:rPr>
        <w:t xml:space="preserve"> dhe materialeve tjera </w:t>
      </w:r>
      <w:r w:rsidR="00720C24" w:rsidRPr="00EA1CA4">
        <w:rPr>
          <w:color w:val="000000"/>
        </w:rPr>
        <w:t xml:space="preserve">shpenzuese </w:t>
      </w:r>
      <w:r w:rsidRPr="00EA1CA4">
        <w:rPr>
          <w:color w:val="000000"/>
        </w:rPr>
        <w:t xml:space="preserve">përmes buxhetit të MSH-së (shih Rezultatin 1.1. Ofrimi i shërbimeve të integruara </w:t>
      </w:r>
      <w:r w:rsidR="00720C24" w:rsidRPr="00EA1CA4">
        <w:rPr>
          <w:color w:val="000000"/>
        </w:rPr>
        <w:t xml:space="preserve">me </w:t>
      </w:r>
      <w:r w:rsidRPr="00EA1CA4">
        <w:rPr>
          <w:color w:val="000000"/>
        </w:rPr>
        <w:t>në qendër pacienti</w:t>
      </w:r>
      <w:r w:rsidR="00720C24" w:rsidRPr="00EA1CA4">
        <w:rPr>
          <w:color w:val="000000"/>
        </w:rPr>
        <w:t>n,</w:t>
      </w:r>
      <w:r w:rsidRPr="00EA1CA4">
        <w:rPr>
          <w:color w:val="000000"/>
        </w:rPr>
        <w:t xml:space="preserve"> për të gjithë pacientët me TB dhe komunitetet e prekura, </w:t>
      </w:r>
      <w:r w:rsidR="00720C24" w:rsidRPr="00EA1CA4">
        <w:rPr>
          <w:color w:val="000000"/>
        </w:rPr>
        <w:t xml:space="preserve">duke </w:t>
      </w:r>
      <w:r w:rsidRPr="00EA1CA4">
        <w:rPr>
          <w:color w:val="000000"/>
        </w:rPr>
        <w:t xml:space="preserve">përfshirë pacientët </w:t>
      </w:r>
      <w:r w:rsidR="00720C24" w:rsidRPr="00EA1CA4">
        <w:rPr>
          <w:color w:val="000000"/>
        </w:rPr>
        <w:t xml:space="preserve">me </w:t>
      </w:r>
      <w:r w:rsidRPr="00EA1CA4">
        <w:rPr>
          <w:color w:val="000000"/>
        </w:rPr>
        <w:t xml:space="preserve">M/XDR-TB; f. 9). Që nga viti 2018, Ministria e Shëndetësisë i siguron të gjitha barnat kundër </w:t>
      </w:r>
      <w:r w:rsidR="00720C24" w:rsidRPr="00EA1CA4">
        <w:rPr>
          <w:color w:val="000000"/>
        </w:rPr>
        <w:t>TB-së</w:t>
      </w:r>
      <w:r w:rsidRPr="00EA1CA4">
        <w:rPr>
          <w:color w:val="000000"/>
        </w:rPr>
        <w:t xml:space="preserve"> përmes Divizionit të Furnizimit të UNICEF-it.</w:t>
      </w:r>
    </w:p>
    <w:p w:rsidR="00E90EA1" w:rsidRPr="00EA1CA4" w:rsidRDefault="00E90EA1" w:rsidP="00624E04">
      <w:pPr>
        <w:spacing w:line="276" w:lineRule="auto"/>
        <w:jc w:val="both"/>
        <w:rPr>
          <w:iCs/>
          <w:color w:val="000000"/>
        </w:rPr>
      </w:pPr>
      <w:r w:rsidRPr="00EA1CA4">
        <w:rPr>
          <w:iCs/>
          <w:color w:val="000000"/>
        </w:rPr>
        <w:t>Granti i tranzicionit synon të investojë në n</w:t>
      </w:r>
      <w:r w:rsidR="00A34890" w:rsidRPr="00EA1CA4">
        <w:rPr>
          <w:iCs/>
          <w:color w:val="000000"/>
        </w:rPr>
        <w:t xml:space="preserve">gritjen </w:t>
      </w:r>
      <w:r w:rsidRPr="00EA1CA4">
        <w:rPr>
          <w:iCs/>
          <w:color w:val="000000"/>
        </w:rPr>
        <w:t xml:space="preserve">e kapaciteteve të MSH-së për të ndërtuar sistemin e furnizimit dhe menaxhimit të stoqeve bazuar në të dhënat e njoftimit dhe raportet e stoqeve (konsumit). </w:t>
      </w:r>
    </w:p>
    <w:p w:rsidR="00E90EA1" w:rsidRPr="00EA1CA4" w:rsidRDefault="00E90EA1" w:rsidP="00624E04">
      <w:pPr>
        <w:spacing w:line="276" w:lineRule="auto"/>
        <w:jc w:val="both"/>
      </w:pPr>
      <w:r w:rsidRPr="00EA1CA4">
        <w:rPr>
          <w:b/>
          <w:bCs/>
        </w:rPr>
        <w:t xml:space="preserve">Sistem i dobët i Menaxhimit të Prokurimit dhe Furnizimit: </w:t>
      </w:r>
      <w:r w:rsidRPr="00EA1CA4">
        <w:rPr>
          <w:bCs/>
        </w:rPr>
        <w:t xml:space="preserve">Ekzistojnë disa sfida të rëndësishme të lidhura me </w:t>
      </w:r>
      <w:r w:rsidR="00A34890" w:rsidRPr="00EA1CA4">
        <w:rPr>
          <w:bCs/>
        </w:rPr>
        <w:t>SMP-</w:t>
      </w:r>
      <w:r w:rsidRPr="00EA1CA4">
        <w:rPr>
          <w:bCs/>
        </w:rPr>
        <w:t xml:space="preserve">në dhe veçanërisht </w:t>
      </w:r>
      <w:r w:rsidR="00A34890" w:rsidRPr="00EA1CA4">
        <w:rPr>
          <w:bCs/>
        </w:rPr>
        <w:t>t</w:t>
      </w:r>
      <w:r w:rsidRPr="00EA1CA4">
        <w:rPr>
          <w:bCs/>
        </w:rPr>
        <w:t>ë prokurimi</w:t>
      </w:r>
      <w:r w:rsidR="00A34890" w:rsidRPr="00EA1CA4">
        <w:rPr>
          <w:bCs/>
        </w:rPr>
        <w:t>t</w:t>
      </w:r>
      <w:r w:rsidRPr="00EA1CA4">
        <w:rPr>
          <w:bCs/>
        </w:rPr>
        <w:t xml:space="preserve"> </w:t>
      </w:r>
      <w:r w:rsidR="00A34890" w:rsidRPr="00EA1CA4">
        <w:rPr>
          <w:bCs/>
        </w:rPr>
        <w:t>të</w:t>
      </w:r>
      <w:r w:rsidRPr="00EA1CA4">
        <w:rPr>
          <w:bCs/>
        </w:rPr>
        <w:t xml:space="preserve"> </w:t>
      </w:r>
      <w:r w:rsidR="00A34890" w:rsidRPr="00EA1CA4">
        <w:rPr>
          <w:bCs/>
        </w:rPr>
        <w:t xml:space="preserve">barnave </w:t>
      </w:r>
      <w:r w:rsidRPr="00EA1CA4">
        <w:rPr>
          <w:bCs/>
        </w:rPr>
        <w:t>kundër TB</w:t>
      </w:r>
      <w:r w:rsidR="00A34890" w:rsidRPr="00EA1CA4">
        <w:rPr>
          <w:bCs/>
        </w:rPr>
        <w:t>-së</w:t>
      </w:r>
      <w:r w:rsidRPr="00EA1CA4">
        <w:rPr>
          <w:bCs/>
        </w:rPr>
        <w:t>, pasi ato nuk ofrohen nga furnizuesit vend</w:t>
      </w:r>
      <w:r w:rsidR="00A34890" w:rsidRPr="00EA1CA4">
        <w:rPr>
          <w:bCs/>
        </w:rPr>
        <w:t>or,</w:t>
      </w:r>
      <w:r w:rsidRPr="00EA1CA4">
        <w:rPr>
          <w:bCs/>
        </w:rPr>
        <w:t xml:space="preserve"> duke qenë se importimi i barnave që nuk janë të regjistruara në BE, SHBA apo Kanada në Kosovë është i </w:t>
      </w:r>
      <w:r w:rsidR="00A34890" w:rsidRPr="00EA1CA4">
        <w:rPr>
          <w:bCs/>
        </w:rPr>
        <w:t>ndaluar</w:t>
      </w:r>
      <w:r w:rsidRPr="00EA1CA4">
        <w:t>.</w:t>
      </w:r>
      <w:r w:rsidRPr="00EA1CA4">
        <w:rPr>
          <w:rStyle w:val="FootnoteReference"/>
        </w:rPr>
        <w:footnoteReference w:id="60"/>
      </w:r>
      <w:r w:rsidR="00A34890" w:rsidRPr="00EA1CA4">
        <w:t xml:space="preserve"> </w:t>
      </w:r>
      <w:r w:rsidRPr="00EA1CA4">
        <w:t>Një vlerësim i fundit nga Agjenti i Fondit Lokal (</w:t>
      </w:r>
      <w:r w:rsidR="00A34890" w:rsidRPr="00EA1CA4">
        <w:t>AFL</w:t>
      </w:r>
      <w:r w:rsidRPr="00EA1CA4">
        <w:t>) i kapacitetit të MSH-së identifikoi dobësitë kryesore që duhen adresuar</w:t>
      </w:r>
      <w:r w:rsidRPr="00EA1CA4">
        <w:rPr>
          <w:rStyle w:val="FootnoteReference"/>
        </w:rPr>
        <w:footnoteReference w:id="61"/>
      </w:r>
      <w:r w:rsidRPr="00EA1CA4">
        <w:t>: i) përzgjedhja e produkteve dhe pajisjeve shëndetësore; ii) parashikimi dhe planifikimi i furnizimit; iii) proceset dhe rezultatet e prokurimit; iv) sistemet e magazin</w:t>
      </w:r>
      <w:r w:rsidR="00A34890" w:rsidRPr="00EA1CA4">
        <w:t xml:space="preserve">imit </w:t>
      </w:r>
      <w:r w:rsidRPr="00EA1CA4">
        <w:t xml:space="preserve">dhe shpërndarjes; v) monitorimi i cilësisë dhe përdorimi i produktit; dhe vi) Sistemet e Informacionit të Menaxhimit të Logjistikës (LMIS). Për të siguruar qëndrueshmëri afatgjatë, duhet të bëhen përpjekje të konsiderueshme për të forcuar </w:t>
      </w:r>
      <w:r w:rsidRPr="00EA1CA4">
        <w:lastRenderedPageBreak/>
        <w:t xml:space="preserve">sistemin kombëtar të menaxhimit të zinxhirit të furnizimit dhe prokurimit në Kosovë. </w:t>
      </w:r>
    </w:p>
    <w:p w:rsidR="00E90EA1" w:rsidRPr="00EA1CA4" w:rsidRDefault="00E90EA1" w:rsidP="00624E04">
      <w:pPr>
        <w:spacing w:line="276" w:lineRule="auto"/>
        <w:jc w:val="both"/>
      </w:pPr>
      <w:r w:rsidRPr="00EA1CA4">
        <w:rPr>
          <w:b/>
          <w:bCs/>
          <w:color w:val="000000"/>
        </w:rPr>
        <w:t xml:space="preserve">Sistem i dobët i kontrollit të </w:t>
      </w:r>
      <w:r w:rsidR="00A34890" w:rsidRPr="00EA1CA4">
        <w:rPr>
          <w:b/>
          <w:bCs/>
          <w:color w:val="000000"/>
        </w:rPr>
        <w:t>stoqeve</w:t>
      </w:r>
      <w:r w:rsidRPr="00EA1CA4">
        <w:rPr>
          <w:b/>
          <w:bCs/>
          <w:color w:val="000000"/>
        </w:rPr>
        <w:t xml:space="preserve">: </w:t>
      </w:r>
      <w:r w:rsidRPr="00EA1CA4">
        <w:rPr>
          <w:bCs/>
          <w:color w:val="000000"/>
        </w:rPr>
        <w:t>Edhe pse nuk është raportuar asnjë rezervë gjatë viteve të fundit, është identifikuar nevoja për të siguruar një furnizim të pandërprerë të trajtimeve të TB me cilësi të garantuar dhe të përballueshm</w:t>
      </w:r>
      <w:r w:rsidR="00A34890" w:rsidRPr="00EA1CA4">
        <w:rPr>
          <w:bCs/>
          <w:color w:val="000000"/>
        </w:rPr>
        <w:t>e</w:t>
      </w:r>
      <w:r w:rsidRPr="00EA1CA4">
        <w:rPr>
          <w:bCs/>
          <w:color w:val="000000"/>
        </w:rPr>
        <w:t>. Përveç kësaj, prokurimi i reag</w:t>
      </w:r>
      <w:r w:rsidR="00A34890" w:rsidRPr="00EA1CA4">
        <w:rPr>
          <w:bCs/>
          <w:color w:val="000000"/>
        </w:rPr>
        <w:t>j</w:t>
      </w:r>
      <w:r w:rsidRPr="00EA1CA4">
        <w:rPr>
          <w:bCs/>
          <w:color w:val="000000"/>
        </w:rPr>
        <w:t xml:space="preserve">entëve laboratorikë për TB për kultura dhe testet e ndjeshmërisë ndaj </w:t>
      </w:r>
      <w:r w:rsidR="00A34890" w:rsidRPr="00EA1CA4">
        <w:rPr>
          <w:bCs/>
          <w:color w:val="000000"/>
        </w:rPr>
        <w:t xml:space="preserve">barnave </w:t>
      </w:r>
      <w:r w:rsidRPr="00EA1CA4">
        <w:rPr>
          <w:bCs/>
          <w:color w:val="000000"/>
        </w:rPr>
        <w:t xml:space="preserve">është gjetur i mjaftueshëm. Në raport është rekomanduar gjithashtu nevoja për rritjen e mëtejshme të kapaciteteve dhe trajnimin e personelit mjekësor të përfshirë në trajtimin e TB-së dhe ndërtimin e kapaciteteve rreth parashikimit dhe prokurimit të barnave dhe materialeve </w:t>
      </w:r>
      <w:r w:rsidR="00A34890" w:rsidRPr="00EA1CA4">
        <w:rPr>
          <w:bCs/>
          <w:color w:val="000000"/>
        </w:rPr>
        <w:t xml:space="preserve">shpenzuese </w:t>
      </w:r>
      <w:r w:rsidRPr="00EA1CA4">
        <w:rPr>
          <w:bCs/>
          <w:color w:val="000000"/>
        </w:rPr>
        <w:t>laboratorike.</w:t>
      </w:r>
    </w:p>
    <w:p w:rsidR="00E90EA1" w:rsidRPr="00EA1CA4" w:rsidRDefault="00E90EA1" w:rsidP="00624E04">
      <w:pPr>
        <w:spacing w:line="276" w:lineRule="auto"/>
        <w:jc w:val="both"/>
      </w:pPr>
      <w:r w:rsidRPr="00EA1CA4">
        <w:rPr>
          <w:b/>
        </w:rPr>
        <w:t xml:space="preserve">Çështjet që duhen adresuar: </w:t>
      </w:r>
      <w:r w:rsidRPr="00EA1CA4">
        <w:t xml:space="preserve">Sigurimi i furnizimit të vazhdueshëm të barnave dhe produkteve shëndetësore cilësore dhe të përballueshme gjatë tranzicionit, aktivitetet e ngritjes së kapaciteteve në funksionet kryesore të </w:t>
      </w:r>
      <w:r w:rsidR="00A34890" w:rsidRPr="00EA1CA4">
        <w:t>SMP</w:t>
      </w:r>
      <w:r w:rsidRPr="00EA1CA4">
        <w:t>-së, p.sh. menaxhimi i stokut, parashikimi dhe përdorimi i mekanizmave të prokurimit ndërkombëtar.</w:t>
      </w:r>
    </w:p>
    <w:p w:rsidR="00B15B3F" w:rsidRPr="00EA1CA4" w:rsidRDefault="00B15B3F" w:rsidP="00624E04">
      <w:pPr>
        <w:spacing w:line="276" w:lineRule="auto"/>
        <w:jc w:val="both"/>
        <w:rPr>
          <w:b/>
          <w:i/>
        </w:rPr>
      </w:pPr>
    </w:p>
    <w:p w:rsidR="00EE32BD" w:rsidRPr="00EA1CA4" w:rsidRDefault="00E90EA1" w:rsidP="00EE32BD">
      <w:pPr>
        <w:spacing w:line="276" w:lineRule="auto"/>
        <w:jc w:val="both"/>
        <w:rPr>
          <w:b/>
          <w:i/>
        </w:rPr>
      </w:pPr>
      <w:r w:rsidRPr="00EA1CA4">
        <w:rPr>
          <w:b/>
          <w:i/>
        </w:rPr>
        <w:t xml:space="preserve">Aktivitetet e planifikuara: </w:t>
      </w:r>
    </w:p>
    <w:p w:rsidR="00EE32BD" w:rsidRPr="00EA1CA4" w:rsidRDefault="00EE32BD" w:rsidP="00EE32BD">
      <w:pPr>
        <w:spacing w:line="276" w:lineRule="auto"/>
        <w:jc w:val="both"/>
        <w:rPr>
          <w:b/>
          <w:i/>
        </w:rPr>
      </w:pPr>
    </w:p>
    <w:p w:rsidR="00EE32BD" w:rsidRPr="00EA1CA4" w:rsidRDefault="00E90EA1">
      <w:pPr>
        <w:pStyle w:val="ListParagraph"/>
        <w:numPr>
          <w:ilvl w:val="2"/>
          <w:numId w:val="36"/>
        </w:numPr>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 xml:space="preserve">Mobilizimi i asistencës teknike për rishikimin e procedurave të prokurimit të MSH për të mundësuar prokurimin </w:t>
      </w:r>
      <w:r w:rsidR="00A34890" w:rsidRPr="00EA1CA4">
        <w:rPr>
          <w:rFonts w:ascii="Times New Roman" w:hAnsi="Times New Roman"/>
          <w:sz w:val="24"/>
          <w:szCs w:val="24"/>
          <w:lang w:val="sq-AL"/>
        </w:rPr>
        <w:t xml:space="preserve">direkt </w:t>
      </w:r>
      <w:r w:rsidRPr="00EA1CA4">
        <w:rPr>
          <w:rFonts w:ascii="Times New Roman" w:hAnsi="Times New Roman"/>
          <w:sz w:val="24"/>
          <w:szCs w:val="24"/>
          <w:lang w:val="sq-AL"/>
        </w:rPr>
        <w:t>nga platformat ndërkombëtare të prokurimit</w:t>
      </w:r>
    </w:p>
    <w:p w:rsidR="00EE32BD" w:rsidRPr="00EA1CA4" w:rsidRDefault="00E90EA1">
      <w:pPr>
        <w:pStyle w:val="ListParagraph"/>
        <w:numPr>
          <w:ilvl w:val="2"/>
          <w:numId w:val="36"/>
        </w:numPr>
        <w:spacing w:line="276" w:lineRule="auto"/>
        <w:jc w:val="both"/>
        <w:rPr>
          <w:rFonts w:ascii="Times New Roman" w:hAnsi="Times New Roman"/>
          <w:b/>
          <w:i/>
          <w:sz w:val="24"/>
          <w:szCs w:val="24"/>
          <w:lang w:val="sq-AL"/>
        </w:rPr>
      </w:pPr>
      <w:r w:rsidRPr="00EA1CA4">
        <w:rPr>
          <w:rFonts w:ascii="Times New Roman" w:hAnsi="Times New Roman"/>
          <w:color w:val="000000"/>
          <w:sz w:val="24"/>
          <w:szCs w:val="24"/>
          <w:lang w:val="sq-AL"/>
        </w:rPr>
        <w:t xml:space="preserve">Mbështetja e praktikave efektive të ruajtjes, monitorimit dhe shpërndarjes për barnat dhe produktet shëndetësore kundër </w:t>
      </w:r>
      <w:r w:rsidR="00A34890" w:rsidRPr="00EA1CA4">
        <w:rPr>
          <w:rFonts w:ascii="Times New Roman" w:hAnsi="Times New Roman"/>
          <w:color w:val="000000"/>
          <w:sz w:val="24"/>
          <w:szCs w:val="24"/>
          <w:lang w:val="sq-AL"/>
        </w:rPr>
        <w:t>TB-së</w:t>
      </w:r>
    </w:p>
    <w:p w:rsidR="00E90EA1" w:rsidRPr="00EA1CA4" w:rsidRDefault="00E90EA1">
      <w:pPr>
        <w:pStyle w:val="ListParagraph"/>
        <w:numPr>
          <w:ilvl w:val="2"/>
          <w:numId w:val="36"/>
        </w:numPr>
        <w:spacing w:line="276" w:lineRule="auto"/>
        <w:jc w:val="both"/>
        <w:rPr>
          <w:rFonts w:ascii="Times New Roman" w:hAnsi="Times New Roman"/>
          <w:b/>
          <w:i/>
          <w:sz w:val="24"/>
          <w:szCs w:val="24"/>
          <w:lang w:val="sq-AL"/>
        </w:rPr>
      </w:pPr>
      <w:r w:rsidRPr="00EA1CA4">
        <w:rPr>
          <w:rStyle w:val="normaltextrun"/>
          <w:rFonts w:ascii="Times New Roman" w:hAnsi="Times New Roman"/>
          <w:sz w:val="24"/>
          <w:szCs w:val="24"/>
          <w:shd w:val="clear" w:color="auto" w:fill="FFFFFF"/>
          <w:lang w:val="sq-AL"/>
        </w:rPr>
        <w:t xml:space="preserve">Ndërtimi i kapaciteteve rreth menaxhimit të stokut, parashikimit dhe prokurimit të barnave kundër </w:t>
      </w:r>
      <w:r w:rsidR="002C14EC" w:rsidRPr="00EA1CA4">
        <w:rPr>
          <w:rStyle w:val="normaltextrun"/>
          <w:rFonts w:ascii="Times New Roman" w:hAnsi="Times New Roman"/>
          <w:sz w:val="24"/>
          <w:szCs w:val="24"/>
          <w:shd w:val="clear" w:color="auto" w:fill="FFFFFF"/>
          <w:lang w:val="sq-AL"/>
        </w:rPr>
        <w:t>TB-së</w:t>
      </w:r>
      <w:r w:rsidRPr="00EA1CA4">
        <w:rPr>
          <w:rStyle w:val="normaltextrun"/>
          <w:rFonts w:ascii="Times New Roman" w:hAnsi="Times New Roman"/>
          <w:sz w:val="24"/>
          <w:szCs w:val="24"/>
          <w:shd w:val="clear" w:color="auto" w:fill="FFFFFF"/>
          <w:lang w:val="sq-AL"/>
        </w:rPr>
        <w:t xml:space="preserve"> dhe materialeve </w:t>
      </w:r>
      <w:r w:rsidR="002C14EC" w:rsidRPr="00EA1CA4">
        <w:rPr>
          <w:rStyle w:val="normaltextrun"/>
          <w:rFonts w:ascii="Times New Roman" w:hAnsi="Times New Roman"/>
          <w:sz w:val="24"/>
          <w:szCs w:val="24"/>
          <w:shd w:val="clear" w:color="auto" w:fill="FFFFFF"/>
          <w:lang w:val="sq-AL"/>
        </w:rPr>
        <w:t>shpenzuese la</w:t>
      </w:r>
      <w:r w:rsidRPr="00EA1CA4">
        <w:rPr>
          <w:rStyle w:val="normaltextrun"/>
          <w:rFonts w:ascii="Times New Roman" w:hAnsi="Times New Roman"/>
          <w:sz w:val="24"/>
          <w:szCs w:val="24"/>
          <w:shd w:val="clear" w:color="auto" w:fill="FFFFFF"/>
          <w:lang w:val="sq-AL"/>
        </w:rPr>
        <w:t>boratorike</w:t>
      </w:r>
    </w:p>
    <w:p w:rsidR="002C14EC" w:rsidRPr="00EA1CA4" w:rsidRDefault="002C14EC" w:rsidP="00624E04">
      <w:pPr>
        <w:spacing w:line="276" w:lineRule="auto"/>
        <w:jc w:val="both"/>
        <w:rPr>
          <w:b/>
        </w:rPr>
      </w:pPr>
    </w:p>
    <w:p w:rsidR="00E90EA1" w:rsidRPr="00EA1CA4" w:rsidRDefault="00E90EA1" w:rsidP="00624E04">
      <w:pPr>
        <w:spacing w:line="276" w:lineRule="auto"/>
        <w:jc w:val="both"/>
        <w:rPr>
          <w:b/>
          <w:bCs/>
        </w:rPr>
      </w:pPr>
      <w:r w:rsidRPr="00EA1CA4">
        <w:rPr>
          <w:b/>
        </w:rPr>
        <w:t xml:space="preserve">Rezultati 3.3 Sigurimi i kapaciteteve adekuate, të mjaftueshme dhe të vazhdueshme të burimeve njerëzore për programet e TB </w:t>
      </w:r>
    </w:p>
    <w:p w:rsidR="00E90EA1" w:rsidRPr="00EA1CA4" w:rsidRDefault="00E90EA1" w:rsidP="00624E04">
      <w:pPr>
        <w:spacing w:line="276" w:lineRule="auto"/>
        <w:jc w:val="both"/>
        <w:rPr>
          <w:b/>
          <w:bCs/>
        </w:rPr>
      </w:pPr>
    </w:p>
    <w:p w:rsidR="00E90EA1" w:rsidRPr="00EA1CA4" w:rsidRDefault="00E90EA1" w:rsidP="00624E04">
      <w:pPr>
        <w:spacing w:line="276" w:lineRule="auto"/>
        <w:jc w:val="both"/>
      </w:pPr>
      <w:r w:rsidRPr="00EA1CA4">
        <w:rPr>
          <w:b/>
          <w:bCs/>
        </w:rPr>
        <w:t>Munges</w:t>
      </w:r>
      <w:r w:rsidR="003664FA" w:rsidRPr="00EA1CA4">
        <w:rPr>
          <w:b/>
          <w:bCs/>
        </w:rPr>
        <w:t>ë</w:t>
      </w:r>
      <w:r w:rsidRPr="00EA1CA4">
        <w:rPr>
          <w:b/>
          <w:bCs/>
        </w:rPr>
        <w:t xml:space="preserve"> e </w:t>
      </w:r>
      <w:r w:rsidR="003664FA" w:rsidRPr="00EA1CA4">
        <w:rPr>
          <w:b/>
          <w:bCs/>
        </w:rPr>
        <w:t xml:space="preserve">Planit dhe Strategjisë Kombëtare për </w:t>
      </w:r>
      <w:r w:rsidRPr="00EA1CA4">
        <w:rPr>
          <w:b/>
          <w:bCs/>
        </w:rPr>
        <w:t xml:space="preserve">Burime Njerëzore </w:t>
      </w:r>
      <w:r w:rsidR="003664FA" w:rsidRPr="00EA1CA4">
        <w:rPr>
          <w:b/>
          <w:bCs/>
        </w:rPr>
        <w:t>n</w:t>
      </w:r>
      <w:r w:rsidRPr="00EA1CA4">
        <w:rPr>
          <w:b/>
          <w:bCs/>
        </w:rPr>
        <w:t>ë Shëndetës</w:t>
      </w:r>
      <w:r w:rsidR="003664FA" w:rsidRPr="00EA1CA4">
        <w:rPr>
          <w:b/>
          <w:bCs/>
        </w:rPr>
        <w:t>i:</w:t>
      </w:r>
      <w:r w:rsidRPr="00EA1CA4">
        <w:rPr>
          <w:b/>
          <w:bCs/>
        </w:rPr>
        <w:t xml:space="preserve"> </w:t>
      </w:r>
      <w:r w:rsidRPr="00EA1CA4">
        <w:t xml:space="preserve">Në mungesë të strategjisë së </w:t>
      </w:r>
      <w:r w:rsidRPr="00EA1CA4">
        <w:lastRenderedPageBreak/>
        <w:t xml:space="preserve">Burimeve Njerëzore </w:t>
      </w:r>
      <w:r w:rsidR="003664FA" w:rsidRPr="00EA1CA4">
        <w:t>n</w:t>
      </w:r>
      <w:r w:rsidRPr="00EA1CA4">
        <w:t>ë Shëndet</w:t>
      </w:r>
      <w:r w:rsidR="003664FA" w:rsidRPr="00EA1CA4">
        <w:t>ësi</w:t>
      </w:r>
      <w:r w:rsidRPr="00EA1CA4">
        <w:t xml:space="preserve"> (</w:t>
      </w:r>
      <w:r w:rsidR="003664FA" w:rsidRPr="00EA1CA4">
        <w:t>BNJSH</w:t>
      </w:r>
      <w:r w:rsidRPr="00EA1CA4">
        <w:t>),</w:t>
      </w:r>
      <w:r w:rsidRPr="00EA1CA4">
        <w:rPr>
          <w:rStyle w:val="FootnoteReference"/>
        </w:rPr>
        <w:footnoteReference w:id="62"/>
      </w:r>
      <w:r w:rsidRPr="00EA1CA4">
        <w:t xml:space="preserve"> vendimet e </w:t>
      </w:r>
      <w:r w:rsidR="003664FA" w:rsidRPr="00EA1CA4">
        <w:t>BNJSH</w:t>
      </w:r>
      <w:r w:rsidRPr="00EA1CA4">
        <w:t xml:space="preserve"> ndikohen në përgjithësi nga politikat buxhetore kufizuese dhe vendimet politike ad-hoc. Kjo e fundit vë në rrezik disponueshmërinë e burimeve njerëzore, veçanërisht në fushën e TB.</w:t>
      </w:r>
    </w:p>
    <w:p w:rsidR="00E90EA1" w:rsidRPr="00EA1CA4" w:rsidRDefault="00E90EA1" w:rsidP="00624E04">
      <w:pPr>
        <w:spacing w:line="276" w:lineRule="auto"/>
        <w:jc w:val="both"/>
        <w:rPr>
          <w:color w:val="000000"/>
        </w:rPr>
      </w:pPr>
      <w:r w:rsidRPr="00EA1CA4">
        <w:rPr>
          <w:b/>
          <w:bCs/>
        </w:rPr>
        <w:t>Munges</w:t>
      </w:r>
      <w:r w:rsidR="003664FA" w:rsidRPr="00EA1CA4">
        <w:rPr>
          <w:b/>
          <w:bCs/>
        </w:rPr>
        <w:t>ë</w:t>
      </w:r>
      <w:r w:rsidRPr="00EA1CA4">
        <w:rPr>
          <w:b/>
          <w:bCs/>
        </w:rPr>
        <w:t xml:space="preserve"> e burimeve njerëzore: </w:t>
      </w:r>
      <w:r w:rsidRPr="00EA1CA4">
        <w:t>Mosbalancimi gjeografik, plakja e stafit, pagat e ulëta dhe migrimi i personelit të specializuar mjekësor janë tipare të përbashkëta të burimeve njerëzore në kujdesin shëndetësor në Kosovë. Plakja e fuqisë punëtore shëndetësore në sektorin e TB-së</w:t>
      </w:r>
      <w:r w:rsidR="003664FA" w:rsidRPr="00EA1CA4">
        <w:t>,</w:t>
      </w:r>
      <w:r w:rsidRPr="00EA1CA4">
        <w:t xml:space="preserve"> së bashku me pagat e ulëta të personelit mjekësor dhe mjedisin e rrezikshëm të punës, pengojnë stafin e ri shëndetësor të punojë në fushën e TB-së, gjë që ngre shqetësime serioze. MSH </w:t>
      </w:r>
      <w:r w:rsidR="0044528D" w:rsidRPr="00EA1CA4">
        <w:t xml:space="preserve">qe disa vite </w:t>
      </w:r>
      <w:r w:rsidRPr="00EA1CA4">
        <w:t xml:space="preserve">nuk po </w:t>
      </w:r>
      <w:r w:rsidR="0044528D" w:rsidRPr="00EA1CA4">
        <w:t xml:space="preserve">ofron </w:t>
      </w:r>
      <w:r w:rsidRPr="00EA1CA4">
        <w:t>specializime të mjaftueshme në pulmonologji për mjekët e rinj</w:t>
      </w:r>
      <w:r w:rsidR="0044528D" w:rsidRPr="00EA1CA4">
        <w:t>,</w:t>
      </w:r>
      <w:r w:rsidRPr="00EA1CA4">
        <w:t xml:space="preserve"> duke krijuar një boshllëk në kujdesin </w:t>
      </w:r>
      <w:r w:rsidR="0044528D" w:rsidRPr="00EA1CA4">
        <w:t xml:space="preserve">shëndetësor primar </w:t>
      </w:r>
      <w:r w:rsidRPr="00EA1CA4">
        <w:t xml:space="preserve">dhe </w:t>
      </w:r>
      <w:r w:rsidR="0044528D" w:rsidRPr="00EA1CA4">
        <w:t>sekondar</w:t>
      </w:r>
      <w:r w:rsidRPr="00EA1CA4">
        <w:t xml:space="preserve"> për menaxhimin e rasteve të TB</w:t>
      </w:r>
      <w:r w:rsidR="0044528D" w:rsidRPr="00EA1CA4">
        <w:t>-së</w:t>
      </w:r>
      <w:r w:rsidRPr="00EA1CA4">
        <w:rPr>
          <w:color w:val="000000"/>
        </w:rPr>
        <w:t xml:space="preserve">. Për më tepër, </w:t>
      </w:r>
      <w:r w:rsidR="0044528D" w:rsidRPr="00EA1CA4">
        <w:rPr>
          <w:color w:val="000000"/>
        </w:rPr>
        <w:t xml:space="preserve">rritja e </w:t>
      </w:r>
      <w:r w:rsidRPr="00EA1CA4">
        <w:rPr>
          <w:color w:val="000000"/>
        </w:rPr>
        <w:t>migrimit të mjekëve të specializuar, mjekëve familj</w:t>
      </w:r>
      <w:r w:rsidR="0044528D" w:rsidRPr="00EA1CA4">
        <w:rPr>
          <w:color w:val="000000"/>
        </w:rPr>
        <w:t>ar</w:t>
      </w:r>
      <w:r w:rsidRPr="00EA1CA4">
        <w:rPr>
          <w:color w:val="000000"/>
        </w:rPr>
        <w:t xml:space="preserve"> dhe infermierëve drejt vendeve të tjera, së bashku me barrierat ligjore të </w:t>
      </w:r>
      <w:r w:rsidR="0044528D" w:rsidRPr="00EA1CA4">
        <w:rPr>
          <w:color w:val="000000"/>
        </w:rPr>
        <w:t xml:space="preserve">komunave </w:t>
      </w:r>
      <w:r w:rsidRPr="00EA1CA4">
        <w:rPr>
          <w:color w:val="000000"/>
        </w:rPr>
        <w:t>për të punësuar mjekë p</w:t>
      </w:r>
      <w:r w:rsidR="0044528D" w:rsidRPr="00EA1CA4">
        <w:rPr>
          <w:color w:val="000000"/>
        </w:rPr>
        <w:t>ulmologë</w:t>
      </w:r>
      <w:r w:rsidRPr="00EA1CA4">
        <w:rPr>
          <w:color w:val="000000"/>
        </w:rPr>
        <w:t xml:space="preserve"> me </w:t>
      </w:r>
      <w:r w:rsidR="0044528D" w:rsidRPr="00EA1CA4">
        <w:rPr>
          <w:color w:val="000000"/>
        </w:rPr>
        <w:t xml:space="preserve">orar </w:t>
      </w:r>
      <w:r w:rsidRPr="00EA1CA4">
        <w:rPr>
          <w:color w:val="000000"/>
        </w:rPr>
        <w:t>të plotë në institucionet e , pengojnë integrimin e shërbimeve të TB-së në sistemin e kujdesit shëndetësor p</w:t>
      </w:r>
      <w:r w:rsidR="0044528D" w:rsidRPr="00EA1CA4">
        <w:rPr>
          <w:color w:val="000000"/>
        </w:rPr>
        <w:t>rimar</w:t>
      </w:r>
      <w:r w:rsidRPr="00EA1CA4">
        <w:rPr>
          <w:color w:val="000000"/>
        </w:rPr>
        <w:t>.</w:t>
      </w:r>
      <w:r w:rsidRPr="00EA1CA4">
        <w:rPr>
          <w:rStyle w:val="FootnoteReference"/>
          <w:color w:val="000000"/>
        </w:rPr>
        <w:footnoteReference w:id="63"/>
      </w:r>
    </w:p>
    <w:p w:rsidR="00E90EA1" w:rsidRPr="00EA1CA4" w:rsidRDefault="00E90EA1" w:rsidP="00624E04">
      <w:pPr>
        <w:spacing w:line="276" w:lineRule="auto"/>
        <w:jc w:val="both"/>
      </w:pPr>
      <w:r w:rsidRPr="00EA1CA4">
        <w:rPr>
          <w:b/>
          <w:bCs/>
        </w:rPr>
        <w:t xml:space="preserve">Integrimi dhe rishikimi i moduleve të trajnimit për TB në programet e arsimit formal: </w:t>
      </w:r>
      <w:r w:rsidRPr="00EA1CA4">
        <w:rPr>
          <w:bCs/>
        </w:rPr>
        <w:t xml:space="preserve">Fondi Global dhe trajnimet e tjera të mbështetura nga donatorët për personelin shëndetësor nuk janë integruar plotësisht në sistemin formal të arsimit </w:t>
      </w:r>
      <w:r w:rsidR="0044528D" w:rsidRPr="00EA1CA4">
        <w:rPr>
          <w:bCs/>
        </w:rPr>
        <w:t>të</w:t>
      </w:r>
      <w:r w:rsidRPr="00EA1CA4">
        <w:rPr>
          <w:bCs/>
        </w:rPr>
        <w:t xml:space="preserve"> nivele</w:t>
      </w:r>
      <w:r w:rsidR="0044528D" w:rsidRPr="00EA1CA4">
        <w:rPr>
          <w:bCs/>
        </w:rPr>
        <w:t>ve</w:t>
      </w:r>
      <w:r w:rsidRPr="00EA1CA4">
        <w:rPr>
          <w:bCs/>
        </w:rPr>
        <w:t xml:space="preserve"> universitare dhe pasuniversitare për të siguruar qëndrueshmëri</w:t>
      </w:r>
      <w:r w:rsidRPr="00EA1CA4">
        <w:t>.</w:t>
      </w:r>
      <w:r w:rsidR="0044528D" w:rsidRPr="00EA1CA4">
        <w:t xml:space="preserve"> </w:t>
      </w:r>
      <w:r w:rsidRPr="00EA1CA4">
        <w:t>Deri më tani, vetëm disa module janë zhvilluar dhe integruar në programin e Mjekësisë Familjare. Një pjesë e konsiderueshme e trajnimit për menaxhimin e programit të TB-së, M</w:t>
      </w:r>
      <w:r w:rsidR="0044528D" w:rsidRPr="00EA1CA4">
        <w:t>dhe</w:t>
      </w:r>
      <w:r w:rsidRPr="00EA1CA4">
        <w:t xml:space="preserve">V, teknologjitë moderne për diagnostikimin laboratorik ose kërkime të lidhura me TB financohen nga granti i </w:t>
      </w:r>
      <w:r w:rsidR="0044528D" w:rsidRPr="00EA1CA4">
        <w:t>FG,</w:t>
      </w:r>
      <w:r w:rsidRPr="00EA1CA4">
        <w:t xml:space="preserve"> dhe duhet të kalojnë në programet kombëtare të edukimit të vazhdueshëm mjekësor bazuar në vlerësimin e nevojave për trajnim.  </w:t>
      </w:r>
    </w:p>
    <w:p w:rsidR="00E90EA1" w:rsidRPr="00EA1CA4" w:rsidRDefault="00E90EA1" w:rsidP="00624E04">
      <w:pPr>
        <w:spacing w:line="276" w:lineRule="auto"/>
        <w:jc w:val="both"/>
      </w:pPr>
      <w:r w:rsidRPr="00EA1CA4">
        <w:rPr>
          <w:b/>
          <w:bCs/>
          <w:color w:val="000000"/>
        </w:rPr>
        <w:t>Ngritja e kapaciteteve të burimeve njerëzore jo</w:t>
      </w:r>
      <w:r w:rsidR="0044528D" w:rsidRPr="00EA1CA4">
        <w:rPr>
          <w:b/>
          <w:bCs/>
          <w:color w:val="000000"/>
        </w:rPr>
        <w:t>-</w:t>
      </w:r>
      <w:r w:rsidRPr="00EA1CA4">
        <w:rPr>
          <w:b/>
          <w:bCs/>
          <w:color w:val="000000"/>
        </w:rPr>
        <w:t xml:space="preserve">mjekësore të OSHC-ve financohen plotësisht nga burime të jashtme: </w:t>
      </w:r>
      <w:r w:rsidRPr="00EA1CA4">
        <w:rPr>
          <w:bCs/>
          <w:color w:val="000000"/>
        </w:rPr>
        <w:t>trajnimi i personelit jo</w:t>
      </w:r>
      <w:r w:rsidR="0044528D" w:rsidRPr="00EA1CA4">
        <w:rPr>
          <w:bCs/>
          <w:color w:val="000000"/>
        </w:rPr>
        <w:t>-</w:t>
      </w:r>
      <w:r w:rsidRPr="00EA1CA4">
        <w:rPr>
          <w:bCs/>
          <w:color w:val="000000"/>
        </w:rPr>
        <w:t xml:space="preserve">mjekësor, duke përfshirë stafin e OSHC-ve, mbështetet plotësisht në </w:t>
      </w:r>
      <w:r w:rsidR="0044528D" w:rsidRPr="00EA1CA4">
        <w:rPr>
          <w:bCs/>
          <w:color w:val="000000"/>
        </w:rPr>
        <w:t>F</w:t>
      </w:r>
      <w:r w:rsidRPr="00EA1CA4">
        <w:rPr>
          <w:bCs/>
          <w:color w:val="000000"/>
        </w:rPr>
        <w:t xml:space="preserve">G dhe </w:t>
      </w:r>
      <w:r w:rsidR="0044528D" w:rsidRPr="00EA1CA4">
        <w:rPr>
          <w:bCs/>
          <w:color w:val="000000"/>
        </w:rPr>
        <w:t xml:space="preserve">nga </w:t>
      </w:r>
      <w:r w:rsidRPr="00EA1CA4">
        <w:rPr>
          <w:bCs/>
          <w:color w:val="000000"/>
        </w:rPr>
        <w:lastRenderedPageBreak/>
        <w:t>mbështetj</w:t>
      </w:r>
      <w:r w:rsidR="0044528D" w:rsidRPr="00EA1CA4">
        <w:rPr>
          <w:bCs/>
          <w:color w:val="000000"/>
        </w:rPr>
        <w:t>a</w:t>
      </w:r>
      <w:r w:rsidRPr="00EA1CA4">
        <w:rPr>
          <w:bCs/>
          <w:color w:val="000000"/>
        </w:rPr>
        <w:t xml:space="preserve"> e donatorëve. Nuk ekziston asnjë mekanizëm kombëtar për të mbrojtur trajnimin e mëtejshëm të këtij personeli. Kjo mund të ketë ndikim negativ në qëndrueshmërinë dhe cilësinë e atyre shërbimeve që ofrohen nga OSHC-të</w:t>
      </w:r>
      <w:r w:rsidRPr="00EA1CA4">
        <w:t xml:space="preserve">. </w:t>
      </w:r>
    </w:p>
    <w:p w:rsidR="00E90EA1" w:rsidRPr="00EA1CA4" w:rsidRDefault="00E90EA1" w:rsidP="00624E04">
      <w:pPr>
        <w:spacing w:line="276" w:lineRule="auto"/>
        <w:jc w:val="both"/>
        <w:rPr>
          <w:iCs/>
          <w:color w:val="000000"/>
        </w:rPr>
      </w:pPr>
      <w:r w:rsidRPr="00EA1CA4">
        <w:rPr>
          <w:b/>
          <w:iCs/>
          <w:color w:val="000000"/>
        </w:rPr>
        <w:t>Kufizimet në lidhje me kapacitetin institucional dhe organizativ të OSHC-ve:</w:t>
      </w:r>
      <w:r w:rsidRPr="00EA1CA4">
        <w:rPr>
          <w:iCs/>
          <w:color w:val="000000"/>
        </w:rPr>
        <w:t xml:space="preserve"> Shumë OShC-ve ende u mungojnë kapacitetet institucionale dhe organizative për të mbështetur projektet dhe shërbimet e tyre për shkak të mungesës së financimit nga qeveria dhe lodhjes së donatorëve, veçanërisht në sektorin e shëndetësisë. Ndërsa grantet e Fondit Global kanë mbështetur ndërtimin e kapaciteteve të OSHC-ve, kjo është fokusuar kryesisht në trajnimin e stafit, shumë prej të cilëve më pas </w:t>
      </w:r>
      <w:r w:rsidR="0044528D" w:rsidRPr="00EA1CA4">
        <w:rPr>
          <w:iCs/>
          <w:color w:val="000000"/>
        </w:rPr>
        <w:t>janë</w:t>
      </w:r>
      <w:r w:rsidRPr="00EA1CA4">
        <w:rPr>
          <w:iCs/>
          <w:color w:val="000000"/>
        </w:rPr>
        <w:t xml:space="preserve"> largua</w:t>
      </w:r>
      <w:r w:rsidR="0044528D" w:rsidRPr="00EA1CA4">
        <w:rPr>
          <w:iCs/>
          <w:color w:val="000000"/>
        </w:rPr>
        <w:t>r</w:t>
      </w:r>
      <w:r w:rsidRPr="00EA1CA4">
        <w:rPr>
          <w:iCs/>
          <w:color w:val="000000"/>
        </w:rPr>
        <w:t xml:space="preserve"> nga organizatat për punë më të paguara. Në këtë drejtim, nevojitet më shumë vëmendje për krijimin dhe/ose forcimin e sistemeve të zhvillimit të kapaciteteve të OSHC-ve në drejtim të menaxhimit, mobilizimit të burimeve, menaxhimit financiar, M</w:t>
      </w:r>
      <w:r w:rsidR="0044528D" w:rsidRPr="00EA1CA4">
        <w:rPr>
          <w:iCs/>
          <w:color w:val="000000"/>
        </w:rPr>
        <w:t>dhe</w:t>
      </w:r>
      <w:r w:rsidRPr="00EA1CA4">
        <w:rPr>
          <w:iCs/>
          <w:color w:val="000000"/>
        </w:rPr>
        <w:t>V, menaxhimit të burimeve njerëzore, planifikimit strategjik</w:t>
      </w:r>
      <w:r w:rsidR="0044528D" w:rsidRPr="00EA1CA4">
        <w:rPr>
          <w:iCs/>
          <w:color w:val="000000"/>
        </w:rPr>
        <w:t>,</w:t>
      </w:r>
      <w:r w:rsidRPr="00EA1CA4">
        <w:rPr>
          <w:iCs/>
          <w:color w:val="000000"/>
        </w:rPr>
        <w:t xml:space="preserve"> etj.</w:t>
      </w:r>
    </w:p>
    <w:p w:rsidR="00E90EA1" w:rsidRPr="00EA1CA4" w:rsidRDefault="00E90EA1" w:rsidP="00624E04">
      <w:pPr>
        <w:spacing w:line="276" w:lineRule="auto"/>
        <w:jc w:val="both"/>
      </w:pPr>
      <w:r w:rsidRPr="00EA1CA4">
        <w:rPr>
          <w:b/>
        </w:rPr>
        <w:t>Çështjet që duhen trajtuar:</w:t>
      </w:r>
      <w:r w:rsidRPr="00EA1CA4">
        <w:t xml:space="preserve"> Për të siguruar furnizim të vazhdueshëm me burime njerëzore, qeveria do të</w:t>
      </w:r>
      <w:r w:rsidR="0044528D" w:rsidRPr="00EA1CA4">
        <w:t>:</w:t>
      </w:r>
      <w:r w:rsidRPr="00EA1CA4">
        <w:t xml:space="preserve"> i) zhvillojë dhe miratojë një plan për BNJ në fushën e TB</w:t>
      </w:r>
      <w:r w:rsidR="0044528D" w:rsidRPr="00EA1CA4">
        <w:t>-së</w:t>
      </w:r>
      <w:r w:rsidRPr="00EA1CA4">
        <w:t xml:space="preserve">; ii) për të lejuar prodhimin e vazhdueshëm të burimeve njerëzore të kualifikuara, modulet e trajnimit për TB do të integrohen në programet e </w:t>
      </w:r>
      <w:r w:rsidR="0044528D" w:rsidRPr="00EA1CA4">
        <w:t>Arsimin e</w:t>
      </w:r>
      <w:r w:rsidRPr="00EA1CA4">
        <w:t xml:space="preserve"> Vazhdueshëm Mjekësor (</w:t>
      </w:r>
      <w:r w:rsidR="0044528D" w:rsidRPr="00EA1CA4">
        <w:t>AVM</w:t>
      </w:r>
      <w:r w:rsidRPr="00EA1CA4">
        <w:t xml:space="preserve">); iii) qeveria do të sigurojë shpërndarjen e fondeve adekuate publike për kurset e </w:t>
      </w:r>
      <w:r w:rsidR="0044528D" w:rsidRPr="00EA1CA4">
        <w:t>AVM</w:t>
      </w:r>
      <w:r w:rsidRPr="00EA1CA4">
        <w:t xml:space="preserve"> për të garantuar </w:t>
      </w:r>
      <w:r w:rsidR="0044528D" w:rsidRPr="00EA1CA4">
        <w:t xml:space="preserve">qasje </w:t>
      </w:r>
      <w:r w:rsidRPr="00EA1CA4">
        <w:t>të përmirësuar të fuqisë punëtore shëndetësore në mundësitë e zhvillimit profesional; si dhe do të</w:t>
      </w:r>
      <w:r w:rsidR="0044528D" w:rsidRPr="00EA1CA4">
        <w:t>:</w:t>
      </w:r>
      <w:r w:rsidRPr="00EA1CA4">
        <w:t xml:space="preserve"> iv) zhvillojë strategjinë dhe mekanizmin për ndërtimin e kapaciteteve të OSHC-ve. </w:t>
      </w:r>
    </w:p>
    <w:p w:rsidR="0044528D" w:rsidRPr="00EA1CA4" w:rsidRDefault="0044528D" w:rsidP="00624E04">
      <w:pPr>
        <w:spacing w:line="276" w:lineRule="auto"/>
        <w:jc w:val="both"/>
        <w:rPr>
          <w:b/>
          <w:i/>
        </w:rPr>
      </w:pPr>
    </w:p>
    <w:p w:rsidR="00EE32BD" w:rsidRPr="00EA1CA4" w:rsidRDefault="00E90EA1" w:rsidP="00EE32BD">
      <w:pPr>
        <w:spacing w:line="276" w:lineRule="auto"/>
        <w:jc w:val="both"/>
        <w:rPr>
          <w:b/>
          <w:i/>
        </w:rPr>
      </w:pPr>
      <w:r w:rsidRPr="00EA1CA4">
        <w:rPr>
          <w:b/>
          <w:i/>
        </w:rPr>
        <w:t>Aktivitetet e planifikuara:</w:t>
      </w:r>
    </w:p>
    <w:p w:rsidR="00EE32BD" w:rsidRPr="00EA1CA4" w:rsidRDefault="00EE32BD" w:rsidP="00EE32BD">
      <w:pPr>
        <w:spacing w:line="276" w:lineRule="auto"/>
        <w:jc w:val="both"/>
        <w:rPr>
          <w:b/>
          <w:i/>
        </w:rPr>
      </w:pPr>
    </w:p>
    <w:p w:rsidR="00EE32BD" w:rsidRPr="00EA1CA4" w:rsidRDefault="0044528D">
      <w:pPr>
        <w:pStyle w:val="ListParagraph"/>
        <w:numPr>
          <w:ilvl w:val="2"/>
          <w:numId w:val="37"/>
        </w:numPr>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Vlerësimi i burimeve njerëzore në shëndetësi për nevojat e zhvillimit / trajnimit të Programit të TB (mjekësor, jo-mjekësor, stafi i OSHC-së</w:t>
      </w:r>
      <w:r w:rsidR="00E90EA1" w:rsidRPr="00EA1CA4">
        <w:rPr>
          <w:rFonts w:ascii="Times New Roman" w:hAnsi="Times New Roman"/>
          <w:sz w:val="24"/>
          <w:szCs w:val="24"/>
          <w:lang w:val="sq-AL"/>
        </w:rPr>
        <w:t xml:space="preserve">) </w:t>
      </w:r>
    </w:p>
    <w:p w:rsidR="00EE32BD" w:rsidRPr="00EA1CA4" w:rsidRDefault="0044528D">
      <w:pPr>
        <w:pStyle w:val="ListParagraph"/>
        <w:numPr>
          <w:ilvl w:val="2"/>
          <w:numId w:val="37"/>
        </w:numPr>
        <w:spacing w:line="276" w:lineRule="auto"/>
        <w:jc w:val="both"/>
        <w:rPr>
          <w:rFonts w:ascii="Times New Roman" w:hAnsi="Times New Roman"/>
          <w:b/>
          <w:i/>
          <w:sz w:val="24"/>
          <w:szCs w:val="24"/>
          <w:lang w:val="sq-AL"/>
        </w:rPr>
      </w:pPr>
      <w:r w:rsidRPr="00EA1CA4">
        <w:rPr>
          <w:rFonts w:ascii="Times New Roman" w:hAnsi="Times New Roman"/>
          <w:color w:val="000000"/>
          <w:sz w:val="24"/>
          <w:szCs w:val="24"/>
          <w:lang w:val="sq-AL"/>
        </w:rPr>
        <w:t>Hartimi i planit të zhvillimit të burimeve njerëzore të Programit të TB (mjekësore, jo-mjekësore dhe OSHC) bazuar në vlerësimin e BNJSH</w:t>
      </w:r>
    </w:p>
    <w:p w:rsidR="00EE32BD" w:rsidRPr="00EA1CA4" w:rsidRDefault="0044528D">
      <w:pPr>
        <w:pStyle w:val="ListParagraph"/>
        <w:numPr>
          <w:ilvl w:val="2"/>
          <w:numId w:val="37"/>
        </w:numPr>
        <w:spacing w:line="276" w:lineRule="auto"/>
        <w:jc w:val="both"/>
        <w:rPr>
          <w:rFonts w:ascii="Times New Roman" w:hAnsi="Times New Roman"/>
          <w:b/>
          <w:i/>
          <w:sz w:val="24"/>
          <w:szCs w:val="24"/>
          <w:lang w:val="sq-AL"/>
        </w:rPr>
      </w:pPr>
      <w:r w:rsidRPr="00EA1CA4">
        <w:rPr>
          <w:rFonts w:ascii="Times New Roman" w:hAnsi="Times New Roman"/>
          <w:color w:val="000000"/>
          <w:sz w:val="24"/>
          <w:szCs w:val="24"/>
          <w:lang w:val="sq-AL"/>
        </w:rPr>
        <w:t xml:space="preserve">Zbatimi i planit të zhvillimit të BNJSH-TB (mjekësor, jo-mjekësor dhe OSHC) përmes mobilizimit të burimeve </w:t>
      </w:r>
      <w:r w:rsidR="00E90EA1" w:rsidRPr="00EA1CA4">
        <w:rPr>
          <w:rFonts w:ascii="Times New Roman" w:hAnsi="Times New Roman"/>
          <w:color w:val="000000"/>
          <w:sz w:val="24"/>
          <w:szCs w:val="24"/>
          <w:lang w:val="sq-AL"/>
        </w:rPr>
        <w:t xml:space="preserve">ve </w:t>
      </w:r>
    </w:p>
    <w:p w:rsidR="00EE32BD" w:rsidRPr="00EA1CA4" w:rsidRDefault="0044528D">
      <w:pPr>
        <w:pStyle w:val="ListParagraph"/>
        <w:numPr>
          <w:ilvl w:val="2"/>
          <w:numId w:val="37"/>
        </w:numPr>
        <w:spacing w:line="276" w:lineRule="auto"/>
        <w:jc w:val="both"/>
        <w:rPr>
          <w:rFonts w:ascii="Times New Roman" w:hAnsi="Times New Roman"/>
          <w:b/>
          <w:i/>
          <w:sz w:val="24"/>
          <w:szCs w:val="24"/>
          <w:lang w:val="sq-AL"/>
        </w:rPr>
      </w:pPr>
      <w:r w:rsidRPr="00EA1CA4">
        <w:rPr>
          <w:rFonts w:ascii="Times New Roman" w:hAnsi="Times New Roman"/>
          <w:color w:val="000000"/>
          <w:sz w:val="24"/>
          <w:szCs w:val="24"/>
          <w:lang w:val="sq-AL"/>
        </w:rPr>
        <w:lastRenderedPageBreak/>
        <w:t>Zhvillimi i mekanizmit të financimit për trajnimin e personelit mjekësor, jo-mjekësor, duke përfshirë përfaqësuesit e OSHC-ve dhe punonjësve socialë</w:t>
      </w:r>
      <w:r w:rsidR="00E90EA1" w:rsidRPr="00EA1CA4">
        <w:rPr>
          <w:rFonts w:ascii="Times New Roman" w:hAnsi="Times New Roman"/>
          <w:color w:val="000000"/>
          <w:sz w:val="24"/>
          <w:szCs w:val="24"/>
          <w:lang w:val="sq-AL"/>
        </w:rPr>
        <w:t xml:space="preserve"> </w:t>
      </w:r>
    </w:p>
    <w:p w:rsidR="00E90EA1" w:rsidRPr="00EA1CA4" w:rsidRDefault="0044528D">
      <w:pPr>
        <w:pStyle w:val="ListParagraph"/>
        <w:numPr>
          <w:ilvl w:val="2"/>
          <w:numId w:val="37"/>
        </w:numPr>
        <w:spacing w:line="276" w:lineRule="auto"/>
        <w:jc w:val="both"/>
        <w:rPr>
          <w:rFonts w:ascii="Times New Roman" w:hAnsi="Times New Roman"/>
          <w:b/>
          <w:i/>
          <w:sz w:val="24"/>
          <w:szCs w:val="24"/>
          <w:lang w:val="sq-AL"/>
        </w:rPr>
      </w:pPr>
      <w:r w:rsidRPr="00EA1CA4">
        <w:rPr>
          <w:rFonts w:ascii="Times New Roman" w:hAnsi="Times New Roman"/>
          <w:color w:val="000000"/>
          <w:sz w:val="24"/>
          <w:szCs w:val="24"/>
          <w:lang w:val="sq-AL"/>
        </w:rPr>
        <w:t>Zhvillimi dhe zbatimi i një plani, së bashku me MSH-në, Odat Mjekësore dhe Fakultetin e Mjekësisë, për rishikimin e moduleve të trajnimit lidhur me TB-në për nivelin universitar, pasuniversitar (programet rezidenciale) dhe për nivelin AVM</w:t>
      </w:r>
      <w:r w:rsidR="00E90EA1" w:rsidRPr="00EA1CA4">
        <w:rPr>
          <w:rFonts w:ascii="Times New Roman" w:hAnsi="Times New Roman"/>
          <w:sz w:val="24"/>
          <w:szCs w:val="24"/>
          <w:lang w:val="sq-AL"/>
        </w:rPr>
        <w:t xml:space="preserve">. </w:t>
      </w:r>
    </w:p>
    <w:p w:rsidR="002C14EC" w:rsidRPr="00EA1CA4" w:rsidRDefault="002C14EC" w:rsidP="00624E04">
      <w:pPr>
        <w:spacing w:line="276" w:lineRule="auto"/>
        <w:jc w:val="both"/>
        <w:rPr>
          <w:b/>
        </w:rPr>
      </w:pPr>
      <w:bookmarkStart w:id="54" w:name="_Toc93005255"/>
    </w:p>
    <w:p w:rsidR="00E90EA1" w:rsidRPr="00EA1CA4" w:rsidRDefault="00E90EA1" w:rsidP="00624E04">
      <w:pPr>
        <w:spacing w:line="276" w:lineRule="auto"/>
        <w:jc w:val="both"/>
        <w:rPr>
          <w:b/>
        </w:rPr>
      </w:pPr>
      <w:r w:rsidRPr="00EA1CA4">
        <w:rPr>
          <w:b/>
        </w:rPr>
        <w:t xml:space="preserve">Rezultati 3.4 Rritja e politikëbërjes dhe llogaridhënies së programit kombëtar </w:t>
      </w:r>
      <w:r w:rsidR="00A31EBF" w:rsidRPr="00EA1CA4">
        <w:rPr>
          <w:b/>
        </w:rPr>
        <w:t>kundër</w:t>
      </w:r>
      <w:r w:rsidRPr="00EA1CA4">
        <w:rPr>
          <w:b/>
        </w:rPr>
        <w:t xml:space="preserve"> TB-</w:t>
      </w:r>
      <w:r w:rsidR="00A31EBF" w:rsidRPr="00EA1CA4">
        <w:rPr>
          <w:b/>
        </w:rPr>
        <w:t>s</w:t>
      </w:r>
      <w:r w:rsidRPr="00EA1CA4">
        <w:rPr>
          <w:b/>
        </w:rPr>
        <w:t>ë</w:t>
      </w:r>
      <w:r w:rsidR="00A31EBF" w:rsidRPr="00EA1CA4">
        <w:rPr>
          <w:b/>
        </w:rPr>
        <w:t>,</w:t>
      </w:r>
      <w:r w:rsidRPr="00EA1CA4">
        <w:rPr>
          <w:b/>
        </w:rPr>
        <w:t xml:space="preserve"> </w:t>
      </w:r>
      <w:r w:rsidR="00A31EBF" w:rsidRPr="00EA1CA4">
        <w:rPr>
          <w:b/>
        </w:rPr>
        <w:t>të</w:t>
      </w:r>
      <w:r w:rsidRPr="00EA1CA4">
        <w:rPr>
          <w:b/>
        </w:rPr>
        <w:t xml:space="preserve"> bazuar në prova dhe të bazuar në dëshmi </w:t>
      </w:r>
      <w:bookmarkEnd w:id="54"/>
    </w:p>
    <w:p w:rsidR="00E90EA1" w:rsidRPr="00EA1CA4" w:rsidRDefault="00E90EA1" w:rsidP="00624E04">
      <w:pPr>
        <w:spacing w:line="276" w:lineRule="auto"/>
        <w:jc w:val="both"/>
        <w:rPr>
          <w:b/>
        </w:rPr>
      </w:pPr>
    </w:p>
    <w:p w:rsidR="00E90EA1" w:rsidRPr="00EA1CA4" w:rsidRDefault="00E90EA1" w:rsidP="00624E04">
      <w:pPr>
        <w:spacing w:before="60" w:line="276" w:lineRule="auto"/>
        <w:jc w:val="both"/>
      </w:pPr>
      <w:r w:rsidRPr="00EA1CA4">
        <w:rPr>
          <w:rStyle w:val="normaltextrun"/>
          <w:b/>
          <w:bCs/>
          <w:color w:val="000000"/>
          <w:bdr w:val="none" w:sz="0" w:space="0" w:color="auto" w:frame="1"/>
        </w:rPr>
        <w:t xml:space="preserve">Sistemi Kombëtar </w:t>
      </w:r>
      <w:r w:rsidR="0000070C" w:rsidRPr="00EA1CA4">
        <w:rPr>
          <w:rStyle w:val="normaltextrun"/>
          <w:b/>
          <w:bCs/>
          <w:color w:val="000000"/>
          <w:bdr w:val="none" w:sz="0" w:space="0" w:color="auto" w:frame="1"/>
        </w:rPr>
        <w:t xml:space="preserve">i Menaxhimit të </w:t>
      </w:r>
      <w:r w:rsidRPr="00EA1CA4">
        <w:rPr>
          <w:rStyle w:val="normaltextrun"/>
          <w:b/>
          <w:bCs/>
          <w:color w:val="000000"/>
          <w:bdr w:val="none" w:sz="0" w:space="0" w:color="auto" w:frame="1"/>
        </w:rPr>
        <w:t>Informa</w:t>
      </w:r>
      <w:r w:rsidR="0000070C" w:rsidRPr="00EA1CA4">
        <w:rPr>
          <w:rStyle w:val="normaltextrun"/>
          <w:b/>
          <w:bCs/>
          <w:color w:val="000000"/>
          <w:bdr w:val="none" w:sz="0" w:space="0" w:color="auto" w:frame="1"/>
        </w:rPr>
        <w:t xml:space="preserve">cioneve </w:t>
      </w:r>
      <w:r w:rsidRPr="00EA1CA4">
        <w:rPr>
          <w:rStyle w:val="normaltextrun"/>
          <w:b/>
          <w:bCs/>
          <w:color w:val="000000"/>
          <w:bdr w:val="none" w:sz="0" w:space="0" w:color="auto" w:frame="1"/>
        </w:rPr>
        <w:t>Shëndet</w:t>
      </w:r>
      <w:r w:rsidR="0000070C" w:rsidRPr="00EA1CA4">
        <w:rPr>
          <w:rStyle w:val="normaltextrun"/>
          <w:b/>
          <w:bCs/>
          <w:color w:val="000000"/>
          <w:bdr w:val="none" w:sz="0" w:space="0" w:color="auto" w:frame="1"/>
        </w:rPr>
        <w:t xml:space="preserve">ësore </w:t>
      </w:r>
      <w:r w:rsidRPr="00EA1CA4">
        <w:rPr>
          <w:rStyle w:val="normaltextrun"/>
          <w:b/>
          <w:bCs/>
          <w:color w:val="000000"/>
          <w:bdr w:val="none" w:sz="0" w:space="0" w:color="auto" w:frame="1"/>
        </w:rPr>
        <w:t>të Kosovës (</w:t>
      </w:r>
      <w:r w:rsidR="0000070C" w:rsidRPr="00EA1CA4">
        <w:rPr>
          <w:rStyle w:val="normaltextrun"/>
          <w:b/>
          <w:bCs/>
          <w:color w:val="000000"/>
          <w:bdr w:val="none" w:sz="0" w:space="0" w:color="auto" w:frame="1"/>
        </w:rPr>
        <w:t>SMISH</w:t>
      </w:r>
      <w:r w:rsidRPr="00EA1CA4">
        <w:rPr>
          <w:rStyle w:val="normaltextrun"/>
          <w:b/>
          <w:bCs/>
          <w:color w:val="000000"/>
          <w:bdr w:val="none" w:sz="0" w:space="0" w:color="auto" w:frame="1"/>
        </w:rPr>
        <w:t>) është ende në zhvillim e sipër dhe sistemet e menaxhimit të të dhënave për HIV dhe TB ende nuk janë integruar:</w:t>
      </w:r>
      <w:r w:rsidR="00A31EBF" w:rsidRPr="00EA1CA4">
        <w:rPr>
          <w:rStyle w:val="normaltextrun"/>
          <w:b/>
          <w:bCs/>
          <w:color w:val="000000"/>
          <w:bdr w:val="none" w:sz="0" w:space="0" w:color="auto" w:frame="1"/>
        </w:rPr>
        <w:t xml:space="preserve"> </w:t>
      </w:r>
      <w:r w:rsidRPr="00EA1CA4">
        <w:t xml:space="preserve">Sistemet e të dhënave për HIV dhe TB janë të fragmentuara, menaxhohen dhe operohen nga partnerë dhe organizata të ndryshme zbatuese. Zhvillimi i një </w:t>
      </w:r>
      <w:r w:rsidR="0000070C" w:rsidRPr="00EA1CA4">
        <w:t>SMISH</w:t>
      </w:r>
      <w:r w:rsidRPr="00EA1CA4">
        <w:t xml:space="preserve"> elektronik të integruar, i cili filloi në vitin 2014, nuk ka rezultuar ende në një sistem funksional të plotë. </w:t>
      </w:r>
      <w:r w:rsidR="0000070C" w:rsidRPr="00EA1CA4">
        <w:t>SMISH</w:t>
      </w:r>
      <w:r w:rsidRPr="00EA1CA4">
        <w:t xml:space="preserve"> është aktualisht funksional në nivel  dhe është parashikuar zhvillimi i moduleve të tjera (</w:t>
      </w:r>
      <w:r w:rsidR="005A2D2E" w:rsidRPr="00EA1CA4">
        <w:t>KShD</w:t>
      </w:r>
      <w:r w:rsidRPr="00EA1CA4">
        <w:t xml:space="preserve">, </w:t>
      </w:r>
      <w:r w:rsidR="0000070C" w:rsidRPr="00EA1CA4">
        <w:t>KS</w:t>
      </w:r>
      <w:r w:rsidR="005A2D2E" w:rsidRPr="00EA1CA4">
        <w:t>h</w:t>
      </w:r>
      <w:r w:rsidR="0000070C" w:rsidRPr="00EA1CA4">
        <w:t>T</w:t>
      </w:r>
      <w:r w:rsidRPr="00EA1CA4">
        <w:t xml:space="preserve">, LMIS, moduli i financimit, moduli HR, etj.). </w:t>
      </w:r>
      <w:r w:rsidRPr="00EA1CA4">
        <w:rPr>
          <w:color w:val="000000"/>
        </w:rPr>
        <w:t xml:space="preserve">Qeveria e re ka prioritet zhvillimin e </w:t>
      </w:r>
      <w:r w:rsidR="0000070C" w:rsidRPr="00EA1CA4">
        <w:rPr>
          <w:color w:val="000000"/>
        </w:rPr>
        <w:t>SMISH</w:t>
      </w:r>
      <w:r w:rsidRPr="00EA1CA4">
        <w:rPr>
          <w:color w:val="000000"/>
        </w:rPr>
        <w:t xml:space="preserve"> funksionale gjatë mandatit katërvjeçar; megjithatë plani i detajuar nuk është ende i disponueshëm. Disa donatorë si Lux Development dhe Banka Botërore, kanë treguar përkushtim për të mbështetur këtë proces. Është thelbësore të sigurohet që SIM-TB t'i dorëzohet MSH-së dhe/ose Institutit Kombëtar për Shëndetin Publik me respekt dhe të integrohet në </w:t>
      </w:r>
      <w:r w:rsidR="0000070C" w:rsidRPr="00EA1CA4">
        <w:rPr>
          <w:color w:val="000000"/>
        </w:rPr>
        <w:t xml:space="preserve">SMISH </w:t>
      </w:r>
      <w:r w:rsidRPr="00EA1CA4">
        <w:rPr>
          <w:color w:val="000000"/>
        </w:rPr>
        <w:t>përpara se të përfundojë mbështetja e GF</w:t>
      </w:r>
      <w:r w:rsidRPr="00EA1CA4">
        <w:t xml:space="preserve">. </w:t>
      </w:r>
    </w:p>
    <w:p w:rsidR="00E90EA1" w:rsidRPr="00EA1CA4" w:rsidRDefault="00E90EA1" w:rsidP="00624E04">
      <w:pPr>
        <w:spacing w:line="276" w:lineRule="auto"/>
        <w:jc w:val="both"/>
        <w:rPr>
          <w:bCs/>
          <w:color w:val="000000"/>
        </w:rPr>
      </w:pPr>
      <w:r w:rsidRPr="00EA1CA4">
        <w:rPr>
          <w:b/>
          <w:bCs/>
        </w:rPr>
        <w:t xml:space="preserve">Cilësia dhe besueshmëria e të dhënave: </w:t>
      </w:r>
      <w:r w:rsidRPr="00EA1CA4">
        <w:rPr>
          <w:bCs/>
        </w:rPr>
        <w:t>Sistemi aktual i regjistrimit vital i menaxhuar nga Agjencia e Statistikave të Kosovës (ASK) ka cilësi dhe mbulim të pamjaftueshëm, gjë që ndikon në besueshmërinë e të dhënave të vdekshmërisë nga TB. Formularët në letër për njoftimin e vdekshmërisë shpesh nuk regjistrohen mirë ose humbasin në sistem. Sistemi R</w:t>
      </w:r>
      <w:r w:rsidR="0000070C" w:rsidRPr="00EA1CA4">
        <w:rPr>
          <w:bCs/>
        </w:rPr>
        <w:t>dhe</w:t>
      </w:r>
      <w:r w:rsidRPr="00EA1CA4">
        <w:rPr>
          <w:bCs/>
        </w:rPr>
        <w:t>R i informacionit të të dhënave SI</w:t>
      </w:r>
      <w:r w:rsidR="0000070C" w:rsidRPr="00EA1CA4">
        <w:rPr>
          <w:bCs/>
        </w:rPr>
        <w:t>M-</w:t>
      </w:r>
      <w:r w:rsidRPr="00EA1CA4">
        <w:rPr>
          <w:bCs/>
        </w:rPr>
        <w:t xml:space="preserve">TB për TB, prodhon të dhëna dhe informacione me cilësi të mirë. Ky sistem duhet të integrohet në </w:t>
      </w:r>
      <w:r w:rsidR="0000070C" w:rsidRPr="00EA1CA4">
        <w:rPr>
          <w:bCs/>
        </w:rPr>
        <w:t>SMISH</w:t>
      </w:r>
      <w:r w:rsidRPr="00EA1CA4">
        <w:rPr>
          <w:bCs/>
        </w:rPr>
        <w:t xml:space="preserve"> unik</w:t>
      </w:r>
      <w:r w:rsidRPr="00EA1CA4">
        <w:rPr>
          <w:color w:val="000000"/>
        </w:rPr>
        <w:t>.</w:t>
      </w:r>
    </w:p>
    <w:p w:rsidR="00E90EA1" w:rsidRPr="00EA1CA4" w:rsidRDefault="00E90EA1" w:rsidP="00624E04">
      <w:pPr>
        <w:spacing w:line="276" w:lineRule="auto"/>
        <w:jc w:val="both"/>
      </w:pPr>
      <w:r w:rsidRPr="00EA1CA4">
        <w:rPr>
          <w:b/>
          <w:bCs/>
        </w:rPr>
        <w:lastRenderedPageBreak/>
        <w:t xml:space="preserve">Mungesa e gjurmimit të shpenzimeve të TB-së: </w:t>
      </w:r>
      <w:r w:rsidRPr="00EA1CA4">
        <w:rPr>
          <w:bCs/>
        </w:rPr>
        <w:t>Krijimi i nën</w:t>
      </w:r>
      <w:r w:rsidR="0000070C" w:rsidRPr="00EA1CA4">
        <w:rPr>
          <w:bCs/>
        </w:rPr>
        <w:t>-</w:t>
      </w:r>
      <w:r w:rsidRPr="00EA1CA4">
        <w:rPr>
          <w:bCs/>
        </w:rPr>
        <w:t>llogarive specifike për sëmundjet brenda një sistemi kombëtar të llogarive shëndetësore ishte një rekomandim i TPA-së, i cili ishte parashikuar në P</w:t>
      </w:r>
      <w:r w:rsidR="0000070C" w:rsidRPr="00EA1CA4">
        <w:rPr>
          <w:bCs/>
        </w:rPr>
        <w:t>K</w:t>
      </w:r>
      <w:r w:rsidRPr="00EA1CA4">
        <w:rPr>
          <w:bCs/>
        </w:rPr>
        <w:t>V-të e mëparshme. MSH me mbështetjen teknike të OBSH-së ka krijuar një grup pune për llogarinë shëndetësore kombëtare me pjesëmarrjen e MSH-së dhe Ministrisë së Financave</w:t>
      </w:r>
      <w:r w:rsidRPr="00EA1CA4">
        <w:t>. Në vitin 2019, MSH ka përgatitur një raport vjetor të Llogarisë Kombëtare të Shëndetit për vitin 2018</w:t>
      </w:r>
      <w:r w:rsidRPr="00EA1CA4">
        <w:rPr>
          <w:rStyle w:val="FootnoteReference"/>
        </w:rPr>
        <w:footnoteReference w:id="64"/>
      </w:r>
      <w:r w:rsidRPr="00EA1CA4">
        <w:t xml:space="preserve">. Megjithatë, këto raporte të NHA nuk ofrojnë të dhëna dhe informacione financiare specifike për sëmundjen. Mungesa e një sistemi të llogarive shëndetësore specifike për sëmundje dhe/ose sisteme të përcjelljes së shpenzimeve specifike për sëmundje mund të konsiderohet si një nga faktorët e rrezikut për tranzicionin dhe qëndrueshmërinë. Nëse sistemi i përcjelljes së shpenzimeve nuk vendoset në Kosovë, monitorimi i përmbushjes së çdo zotimi ndaj programit kombëtar të TB-së do të jetë i pamundur.     </w:t>
      </w:r>
    </w:p>
    <w:p w:rsidR="00E90EA1" w:rsidRPr="00EA1CA4" w:rsidRDefault="00E90EA1" w:rsidP="00624E04">
      <w:pPr>
        <w:spacing w:line="276" w:lineRule="auto"/>
        <w:jc w:val="both"/>
        <w:rPr>
          <w:color w:val="000000"/>
        </w:rPr>
      </w:pPr>
      <w:r w:rsidRPr="00EA1CA4">
        <w:rPr>
          <w:b/>
          <w:bCs/>
          <w:color w:val="000000"/>
        </w:rPr>
        <w:t>Miratimi i P</w:t>
      </w:r>
      <w:r w:rsidR="002F6364" w:rsidRPr="00EA1CA4">
        <w:rPr>
          <w:b/>
          <w:bCs/>
          <w:color w:val="000000"/>
        </w:rPr>
        <w:t>K</w:t>
      </w:r>
      <w:r w:rsidRPr="00EA1CA4">
        <w:rPr>
          <w:b/>
          <w:bCs/>
          <w:color w:val="000000"/>
        </w:rPr>
        <w:t>V dhe M</w:t>
      </w:r>
      <w:r w:rsidR="002F6364" w:rsidRPr="00EA1CA4">
        <w:rPr>
          <w:b/>
          <w:bCs/>
          <w:color w:val="000000"/>
        </w:rPr>
        <w:t>dhe</w:t>
      </w:r>
      <w:r w:rsidRPr="00EA1CA4">
        <w:rPr>
          <w:b/>
          <w:bCs/>
          <w:color w:val="000000"/>
        </w:rPr>
        <w:t xml:space="preserve">V për TB: </w:t>
      </w:r>
      <w:r w:rsidRPr="00EA1CA4">
        <w:rPr>
          <w:bCs/>
          <w:color w:val="000000"/>
        </w:rPr>
        <w:t>Edhe pse që nga viti 2012, Kosova ka hartuar një akt nënligjor specifik që rregullon strukturën dhe procesin e miratimit për strategjitë sektoriale, nuk ka politika sektoriale shëndetësore që do të mbështesin një proces formal të miratimit për strategjitë dhe politikat specifike shëndetësore. Si rezultat, P</w:t>
      </w:r>
      <w:r w:rsidR="002F6364" w:rsidRPr="00EA1CA4">
        <w:rPr>
          <w:bCs/>
          <w:color w:val="000000"/>
        </w:rPr>
        <w:t>K</w:t>
      </w:r>
      <w:r w:rsidRPr="00EA1CA4">
        <w:rPr>
          <w:bCs/>
          <w:color w:val="000000"/>
        </w:rPr>
        <w:t>V për TB dhe plani i M</w:t>
      </w:r>
      <w:r w:rsidR="002F6364" w:rsidRPr="00EA1CA4">
        <w:rPr>
          <w:bCs/>
          <w:color w:val="000000"/>
        </w:rPr>
        <w:t>dh</w:t>
      </w:r>
      <w:r w:rsidRPr="00EA1CA4">
        <w:rPr>
          <w:bCs/>
          <w:color w:val="000000"/>
        </w:rPr>
        <w:t>V u hartuan por nuk u miratuan zyrtarisht</w:t>
      </w:r>
      <w:r w:rsidRPr="00EA1CA4">
        <w:rPr>
          <w:color w:val="000000"/>
        </w:rPr>
        <w:t xml:space="preserve">. </w:t>
      </w:r>
    </w:p>
    <w:p w:rsidR="00E90EA1" w:rsidRPr="00EA1CA4" w:rsidRDefault="00E90EA1" w:rsidP="00624E04">
      <w:pPr>
        <w:spacing w:line="276" w:lineRule="auto"/>
        <w:jc w:val="both"/>
        <w:rPr>
          <w:b/>
          <w:bCs/>
        </w:rPr>
      </w:pPr>
      <w:r w:rsidRPr="00EA1CA4">
        <w:rPr>
          <w:b/>
          <w:bCs/>
        </w:rPr>
        <w:t>Formularët e raportimit k</w:t>
      </w:r>
      <w:r w:rsidR="002F6364" w:rsidRPr="00EA1CA4">
        <w:rPr>
          <w:b/>
          <w:bCs/>
        </w:rPr>
        <w:t>anë nevojë për</w:t>
      </w:r>
      <w:r w:rsidRPr="00EA1CA4">
        <w:rPr>
          <w:b/>
          <w:bCs/>
        </w:rPr>
        <w:t xml:space="preserve"> përditësim: </w:t>
      </w:r>
      <w:r w:rsidRPr="00EA1CA4">
        <w:t>Sistemi i regjistrimit dhe raportimit të TB (R</w:t>
      </w:r>
      <w:r w:rsidR="002F6364" w:rsidRPr="00EA1CA4">
        <w:t>dhe</w:t>
      </w:r>
      <w:r w:rsidRPr="00EA1CA4">
        <w:t>R) është përditësuar sipas rekomandimeve të OBSH</w:t>
      </w:r>
      <w:r w:rsidR="002F6364" w:rsidRPr="00EA1CA4">
        <w:t>-së</w:t>
      </w:r>
      <w:r w:rsidRPr="00EA1CA4">
        <w:t xml:space="preserve"> 2013</w:t>
      </w:r>
      <w:r w:rsidR="002F6364" w:rsidRPr="00EA1CA4">
        <w:t>,</w:t>
      </w:r>
      <w:r w:rsidRPr="00EA1CA4">
        <w:t xml:space="preserve"> dhe është institucionalizuar në mbarë vendin. Baza e të dhënave elektronike e bazuar në ueb e quajtur SIM-TB u zhvillua përmes mbështetjes financiare nga </w:t>
      </w:r>
      <w:r w:rsidR="002F6364" w:rsidRPr="00EA1CA4">
        <w:t>F</w:t>
      </w:r>
      <w:r w:rsidRPr="00EA1CA4">
        <w:t>G</w:t>
      </w:r>
      <w:r w:rsidR="002F6364" w:rsidRPr="00EA1CA4">
        <w:t>,</w:t>
      </w:r>
      <w:r w:rsidRPr="00EA1CA4">
        <w:t xml:space="preserve"> dhe cilësia e të dhënave të mbledhura dhe të raportuara është përmirësuar gjatë viteve të fundit. Përparime të mëtejshme të SIM-TB janë të nevojshme për të përfshirë të dhëna dhe </w:t>
      </w:r>
      <w:r w:rsidR="002F6364" w:rsidRPr="00EA1CA4">
        <w:t xml:space="preserve">ndryshore </w:t>
      </w:r>
      <w:r w:rsidRPr="00EA1CA4">
        <w:t>të reja sipas udhëzimeve të OBSH-së për standardet e R</w:t>
      </w:r>
      <w:r w:rsidR="002F6364" w:rsidRPr="00EA1CA4">
        <w:t>dhe</w:t>
      </w:r>
      <w:r w:rsidRPr="00EA1CA4">
        <w:t>R</w:t>
      </w:r>
      <w:r w:rsidRPr="00EA1CA4">
        <w:rPr>
          <w:rStyle w:val="FootnoteReference"/>
        </w:rPr>
        <w:footnoteReference w:id="65"/>
      </w:r>
      <w:r w:rsidRPr="00EA1CA4">
        <w:t xml:space="preserve">. </w:t>
      </w:r>
    </w:p>
    <w:p w:rsidR="00E90EA1" w:rsidRPr="00EA1CA4" w:rsidRDefault="00E90EA1" w:rsidP="00624E04">
      <w:pPr>
        <w:spacing w:line="276" w:lineRule="auto"/>
        <w:jc w:val="both"/>
        <w:rPr>
          <w:color w:val="009193"/>
        </w:rPr>
      </w:pPr>
      <w:r w:rsidRPr="00EA1CA4">
        <w:rPr>
          <w:b/>
          <w:i/>
        </w:rPr>
        <w:t xml:space="preserve">Çështjet që duhen adresuar: </w:t>
      </w:r>
      <w:r w:rsidRPr="00EA1CA4">
        <w:t xml:space="preserve">Nën grantin e tranzicionit </w:t>
      </w:r>
      <w:r w:rsidR="002F6364" w:rsidRPr="00EA1CA4">
        <w:t>F</w:t>
      </w:r>
      <w:r w:rsidRPr="00EA1CA4">
        <w:t xml:space="preserve">G, qeveria do të përshpejtojë punën për finalizimin e sistemeve të informacionit të sëmundjeve </w:t>
      </w:r>
      <w:r w:rsidR="005618DE" w:rsidRPr="00EA1CA4">
        <w:t>specifike</w:t>
      </w:r>
      <w:r w:rsidR="002F6364" w:rsidRPr="00EA1CA4">
        <w:t xml:space="preserve"> </w:t>
      </w:r>
      <w:r w:rsidRPr="00EA1CA4">
        <w:t xml:space="preserve">dhe do të ndërtojë themelet për integrimin e mëvonshëm të bazës së të dhënave të TB në sistemin kombëtar </w:t>
      </w:r>
      <w:r w:rsidR="002F6364" w:rsidRPr="00EA1CA4">
        <w:t>SMISH</w:t>
      </w:r>
      <w:r w:rsidRPr="00EA1CA4">
        <w:rPr>
          <w:color w:val="000000"/>
        </w:rPr>
        <w:t xml:space="preserve">. Kuadri i kostos së </w:t>
      </w:r>
      <w:r w:rsidR="002F6364" w:rsidRPr="00EA1CA4">
        <w:rPr>
          <w:color w:val="000000"/>
        </w:rPr>
        <w:t>PKV-</w:t>
      </w:r>
      <w:r w:rsidRPr="00EA1CA4">
        <w:rPr>
          <w:color w:val="000000"/>
        </w:rPr>
        <w:lastRenderedPageBreak/>
        <w:t>TB dhe M</w:t>
      </w:r>
      <w:r w:rsidR="002F6364" w:rsidRPr="00EA1CA4">
        <w:rPr>
          <w:color w:val="000000"/>
        </w:rPr>
        <w:t>dheV</w:t>
      </w:r>
      <w:r w:rsidRPr="00EA1CA4">
        <w:rPr>
          <w:color w:val="000000"/>
        </w:rPr>
        <w:t xml:space="preserve"> pasi të miratohet nga MSH, do të mobilizojë burimet e nevojshme për të mbështetur aktivitetet e MdheV dhe kërkimet në lidhje me TB. Me mbështetjen financiare të grantit të </w:t>
      </w:r>
      <w:r w:rsidR="002F6364" w:rsidRPr="00EA1CA4">
        <w:rPr>
          <w:color w:val="000000"/>
        </w:rPr>
        <w:t>F</w:t>
      </w:r>
      <w:r w:rsidRPr="00EA1CA4">
        <w:rPr>
          <w:color w:val="000000"/>
        </w:rPr>
        <w:t xml:space="preserve">G, hartimi dhe planifikimi i politikave të bazuara në fakte do të promovohet përmes ngritjes së kapaciteteve të stafit përkatës në MSH. </w:t>
      </w:r>
    </w:p>
    <w:p w:rsidR="002F6364" w:rsidRPr="00EA1CA4" w:rsidRDefault="002F6364" w:rsidP="00624E04">
      <w:pPr>
        <w:spacing w:line="276" w:lineRule="auto"/>
        <w:jc w:val="both"/>
        <w:rPr>
          <w:b/>
          <w:i/>
        </w:rPr>
      </w:pPr>
    </w:p>
    <w:p w:rsidR="00E90EA1" w:rsidRPr="00EA1CA4" w:rsidRDefault="00E90EA1" w:rsidP="00624E04">
      <w:pPr>
        <w:spacing w:line="276" w:lineRule="auto"/>
        <w:jc w:val="both"/>
        <w:rPr>
          <w:b/>
          <w:i/>
        </w:rPr>
      </w:pPr>
      <w:r w:rsidRPr="00EA1CA4">
        <w:rPr>
          <w:b/>
          <w:i/>
        </w:rPr>
        <w:t xml:space="preserve">Aktivitetet e planifikuara: </w:t>
      </w:r>
    </w:p>
    <w:p w:rsidR="00E90EA1" w:rsidRPr="00EA1CA4" w:rsidRDefault="002F6364">
      <w:pPr>
        <w:pStyle w:val="ListParagraph"/>
        <w:numPr>
          <w:ilvl w:val="2"/>
          <w:numId w:val="29"/>
        </w:numPr>
        <w:spacing w:before="120" w:line="276" w:lineRule="auto"/>
        <w:jc w:val="both"/>
        <w:rPr>
          <w:rFonts w:ascii="Times New Roman" w:hAnsi="Times New Roman"/>
          <w:sz w:val="24"/>
          <w:szCs w:val="24"/>
          <w:lang w:val="sq-AL"/>
        </w:rPr>
      </w:pPr>
      <w:r w:rsidRPr="00EA1CA4">
        <w:rPr>
          <w:rFonts w:ascii="Times New Roman" w:hAnsi="Times New Roman"/>
          <w:sz w:val="24"/>
          <w:szCs w:val="24"/>
          <w:lang w:val="sq-AL"/>
        </w:rPr>
        <w:t>Hartimi i një plani gjithëpërfshirës për transferimin e sistemeve të të dhënave në MSH dhe integrimin në SMISH Kombëtar</w:t>
      </w:r>
      <w:r w:rsidR="00E90EA1" w:rsidRPr="00EA1CA4">
        <w:rPr>
          <w:rFonts w:ascii="Times New Roman" w:hAnsi="Times New Roman"/>
          <w:sz w:val="24"/>
          <w:szCs w:val="24"/>
          <w:lang w:val="sq-AL"/>
        </w:rPr>
        <w:t>e</w:t>
      </w:r>
    </w:p>
    <w:p w:rsidR="00DF7A2E" w:rsidRPr="006F4A00" w:rsidRDefault="00DF7A2E">
      <w:pPr>
        <w:pStyle w:val="ListParagraph"/>
        <w:numPr>
          <w:ilvl w:val="2"/>
          <w:numId w:val="29"/>
        </w:numPr>
        <w:spacing w:before="120" w:line="276" w:lineRule="auto"/>
        <w:jc w:val="both"/>
        <w:rPr>
          <w:rFonts w:ascii="Times New Roman" w:hAnsi="Times New Roman"/>
          <w:sz w:val="24"/>
          <w:szCs w:val="24"/>
          <w:lang w:val="sq-AL"/>
        </w:rPr>
      </w:pPr>
      <w:r w:rsidRPr="006F4A00">
        <w:rPr>
          <w:rFonts w:ascii="Times New Roman" w:hAnsi="Times New Roman"/>
          <w:sz w:val="24"/>
          <w:szCs w:val="24"/>
          <w:lang w:val="sq-AL"/>
        </w:rPr>
        <w:t>Krijimi i grupit punues për lehtësimin e ndërlidhjes dhe integrimit të sistemeve të dhënave për TB dhe HIV në SISH të MSH</w:t>
      </w:r>
    </w:p>
    <w:p w:rsidR="00FC0900" w:rsidRPr="006F4A00" w:rsidRDefault="002F6364">
      <w:pPr>
        <w:pStyle w:val="ListParagraph"/>
        <w:numPr>
          <w:ilvl w:val="2"/>
          <w:numId w:val="29"/>
        </w:numPr>
        <w:spacing w:before="120" w:line="276" w:lineRule="auto"/>
        <w:jc w:val="both"/>
        <w:rPr>
          <w:rFonts w:ascii="Times New Roman" w:hAnsi="Times New Roman"/>
          <w:sz w:val="24"/>
          <w:szCs w:val="24"/>
          <w:lang w:val="sq-AL"/>
        </w:rPr>
      </w:pPr>
      <w:r w:rsidRPr="006F4A00">
        <w:rPr>
          <w:rFonts w:ascii="Times New Roman" w:hAnsi="Times New Roman"/>
          <w:sz w:val="24"/>
          <w:szCs w:val="24"/>
          <w:lang w:val="sq-AL"/>
        </w:rPr>
        <w:t>Vlerësimi i funksionimit të sistemeve të ndryshme me SIMSH dhe kërkesat e përpunuara për zhvillimin e një platforme/ndërfaqeje të të dhënave</w:t>
      </w:r>
    </w:p>
    <w:p w:rsidR="00FC0900" w:rsidRPr="006F4A00" w:rsidRDefault="002F6364">
      <w:pPr>
        <w:pStyle w:val="ListParagraph"/>
        <w:numPr>
          <w:ilvl w:val="2"/>
          <w:numId w:val="29"/>
        </w:numPr>
        <w:spacing w:before="120" w:line="276" w:lineRule="auto"/>
        <w:jc w:val="both"/>
        <w:rPr>
          <w:rFonts w:ascii="Times New Roman" w:hAnsi="Times New Roman"/>
          <w:sz w:val="24"/>
          <w:szCs w:val="24"/>
          <w:lang w:val="sq-AL"/>
        </w:rPr>
      </w:pPr>
      <w:r w:rsidRPr="006F4A00">
        <w:rPr>
          <w:rFonts w:ascii="Times New Roman" w:hAnsi="Times New Roman"/>
          <w:sz w:val="24"/>
          <w:szCs w:val="24"/>
          <w:lang w:val="sq-AL"/>
        </w:rPr>
        <w:t>Dizajnimi i modulit të gjurmimit të shpenzimeve të programit kombëtar kundër TB-së ose nën-llogarinë e llogarive kombëtare shëndetësore, nëse është e zbatueshm</w:t>
      </w:r>
      <w:r w:rsidR="00E90EA1" w:rsidRPr="006F4A00">
        <w:rPr>
          <w:rFonts w:ascii="Times New Roman" w:hAnsi="Times New Roman"/>
          <w:sz w:val="24"/>
          <w:szCs w:val="24"/>
          <w:lang w:val="sq-AL"/>
        </w:rPr>
        <w:t>e</w:t>
      </w:r>
    </w:p>
    <w:p w:rsidR="00FC0900" w:rsidRPr="006F4A00" w:rsidRDefault="00E90EA1">
      <w:pPr>
        <w:pStyle w:val="ListParagraph"/>
        <w:numPr>
          <w:ilvl w:val="2"/>
          <w:numId w:val="29"/>
        </w:numPr>
        <w:spacing w:before="120" w:line="276" w:lineRule="auto"/>
        <w:jc w:val="both"/>
        <w:rPr>
          <w:rFonts w:ascii="Times New Roman" w:hAnsi="Times New Roman"/>
          <w:sz w:val="24"/>
          <w:szCs w:val="24"/>
        </w:rPr>
      </w:pPr>
      <w:r w:rsidRPr="006F4A00">
        <w:rPr>
          <w:rFonts w:ascii="Times New Roman" w:hAnsi="Times New Roman"/>
          <w:color w:val="000000"/>
          <w:sz w:val="24"/>
          <w:szCs w:val="24"/>
          <w:lang w:val="sq-AL"/>
        </w:rPr>
        <w:t>Rritja e statistikave vitale</w:t>
      </w:r>
    </w:p>
    <w:p w:rsidR="00FC0900" w:rsidRPr="006F4A00" w:rsidRDefault="002F6364">
      <w:pPr>
        <w:pStyle w:val="ListParagraph"/>
        <w:numPr>
          <w:ilvl w:val="2"/>
          <w:numId w:val="29"/>
        </w:numPr>
        <w:spacing w:before="120" w:line="276" w:lineRule="auto"/>
        <w:jc w:val="both"/>
        <w:rPr>
          <w:rStyle w:val="normaltextrun"/>
          <w:rFonts w:ascii="Times New Roman" w:hAnsi="Times New Roman"/>
          <w:sz w:val="24"/>
          <w:szCs w:val="24"/>
          <w:lang w:val="it-IT"/>
        </w:rPr>
      </w:pPr>
      <w:r w:rsidRPr="006F4A00">
        <w:rPr>
          <w:rFonts w:ascii="Times New Roman" w:hAnsi="Times New Roman"/>
          <w:color w:val="000000"/>
          <w:sz w:val="24"/>
          <w:szCs w:val="24"/>
          <w:lang w:val="sq-AL"/>
        </w:rPr>
        <w:t xml:space="preserve">Identifikimi i mekanizmit të financimit dhe sigurimi i financimit të qëndrueshëm për aktivitetet e M dhe V </w:t>
      </w:r>
      <w:r w:rsidR="00E90EA1" w:rsidRPr="006F4A00">
        <w:rPr>
          <w:rFonts w:ascii="Times New Roman" w:hAnsi="Times New Roman"/>
          <w:color w:val="000000"/>
          <w:sz w:val="24"/>
          <w:szCs w:val="24"/>
          <w:lang w:val="sq-AL"/>
        </w:rPr>
        <w:t xml:space="preserve"> </w:t>
      </w:r>
    </w:p>
    <w:p w:rsidR="00E90EA1" w:rsidRPr="006F4A00" w:rsidRDefault="002F6364">
      <w:pPr>
        <w:pStyle w:val="ListParagraph"/>
        <w:numPr>
          <w:ilvl w:val="2"/>
          <w:numId w:val="29"/>
        </w:numPr>
        <w:spacing w:before="120" w:line="276" w:lineRule="auto"/>
        <w:jc w:val="both"/>
        <w:rPr>
          <w:rFonts w:ascii="Times New Roman" w:hAnsi="Times New Roman"/>
          <w:sz w:val="24"/>
          <w:szCs w:val="24"/>
          <w:lang w:val="it-IT"/>
        </w:rPr>
      </w:pPr>
      <w:r w:rsidRPr="006F4A00">
        <w:rPr>
          <w:rFonts w:ascii="Times New Roman" w:hAnsi="Times New Roman"/>
          <w:sz w:val="24"/>
          <w:szCs w:val="24"/>
          <w:lang w:val="sq-AL"/>
        </w:rPr>
        <w:t>Trajnimi i stafit përgjegjës për analizën e të dhënave dhe të dhënat e raportimit rutinor, si dhe përdorimin e tyre në vendimmarr</w:t>
      </w:r>
      <w:r w:rsidR="00E90EA1" w:rsidRPr="006F4A00">
        <w:rPr>
          <w:rFonts w:ascii="Times New Roman" w:hAnsi="Times New Roman"/>
          <w:sz w:val="24"/>
          <w:szCs w:val="24"/>
          <w:lang w:val="sq-AL"/>
        </w:rPr>
        <w:t>je.</w:t>
      </w:r>
    </w:p>
    <w:p w:rsidR="00E90EA1" w:rsidRPr="00EA1CA4" w:rsidRDefault="00E90EA1" w:rsidP="00624E04">
      <w:pPr>
        <w:pStyle w:val="Normal1"/>
        <w:spacing w:line="276" w:lineRule="auto"/>
        <w:jc w:val="both"/>
        <w:rPr>
          <w:b/>
          <w:lang w:val="sq-AL"/>
        </w:rPr>
      </w:pPr>
      <w:r w:rsidRPr="00EA1CA4">
        <w:rPr>
          <w:b/>
          <w:lang w:val="sq-AL"/>
        </w:rPr>
        <w:t xml:space="preserve">Rezultati 3.5. </w:t>
      </w:r>
      <w:r w:rsidR="0000070C" w:rsidRPr="00EA1CA4">
        <w:rPr>
          <w:b/>
          <w:lang w:val="sq-AL"/>
        </w:rPr>
        <w:t xml:space="preserve">Orientimi i </w:t>
      </w:r>
      <w:r w:rsidRPr="00EA1CA4">
        <w:rPr>
          <w:b/>
          <w:lang w:val="sq-AL"/>
        </w:rPr>
        <w:t>ofrimit të shërbimeve duke siguruar mbulim të zgjeruar, cilësi të shërbimeve të vazhdueshme dhe të koordinuara, planifikim</w:t>
      </w:r>
      <w:r w:rsidR="002F6364" w:rsidRPr="00EA1CA4">
        <w:rPr>
          <w:b/>
          <w:lang w:val="sq-AL"/>
        </w:rPr>
        <w:t>e kontigjente për situata e</w:t>
      </w:r>
      <w:r w:rsidRPr="00EA1CA4">
        <w:rPr>
          <w:b/>
          <w:lang w:val="sq-AL"/>
        </w:rPr>
        <w:t xml:space="preserve">mergjente </w:t>
      </w:r>
    </w:p>
    <w:p w:rsidR="00E90EA1" w:rsidRPr="00EA1CA4" w:rsidRDefault="00E90EA1" w:rsidP="00624E04">
      <w:pPr>
        <w:spacing w:line="276" w:lineRule="auto"/>
        <w:jc w:val="both"/>
        <w:rPr>
          <w:color w:val="000000"/>
          <w:lang w:eastAsia="ru-RU"/>
        </w:rPr>
      </w:pPr>
      <w:r w:rsidRPr="00EA1CA4">
        <w:rPr>
          <w:b/>
          <w:bCs/>
        </w:rPr>
        <w:t xml:space="preserve">Reforma e ngadaltë e kujdesit për TB: </w:t>
      </w:r>
      <w:r w:rsidRPr="00EA1CA4">
        <w:rPr>
          <w:color w:val="000000"/>
          <w:lang w:eastAsia="ru-RU"/>
        </w:rPr>
        <w:t xml:space="preserve">Kosova ka iniciuar integrimin e shërbimeve të TB-së në Kujdesin Shëndetësor </w:t>
      </w:r>
      <w:r w:rsidR="002E2362" w:rsidRPr="00EA1CA4">
        <w:rPr>
          <w:color w:val="000000"/>
          <w:lang w:eastAsia="ru-RU"/>
        </w:rPr>
        <w:t>P</w:t>
      </w:r>
      <w:r w:rsidR="008C4DA5" w:rsidRPr="00EA1CA4">
        <w:rPr>
          <w:color w:val="000000"/>
          <w:lang w:eastAsia="ru-RU"/>
        </w:rPr>
        <w:t>arësor</w:t>
      </w:r>
      <w:r w:rsidRPr="00EA1CA4">
        <w:rPr>
          <w:color w:val="000000"/>
          <w:lang w:eastAsia="ru-RU"/>
        </w:rPr>
        <w:t xml:space="preserve">, me qëllim të forcimit të diagnostikimit dhe trajtimit të hershëm të TB-së në nivel  dhe të reduktojë </w:t>
      </w:r>
      <w:r w:rsidR="002E2362" w:rsidRPr="00EA1CA4">
        <w:rPr>
          <w:color w:val="000000"/>
          <w:lang w:eastAsia="ru-RU"/>
        </w:rPr>
        <w:t>mbi-hospitalizimin e</w:t>
      </w:r>
      <w:r w:rsidRPr="00EA1CA4">
        <w:rPr>
          <w:color w:val="000000"/>
          <w:lang w:eastAsia="ru-RU"/>
        </w:rPr>
        <w:t xml:space="preserve"> pacientëve me TB. Në këtë kontekst, një projekt pilot për integrimin e kujdesit në qendër të pacientit në  filloi nën grantin aktual të Fondit Global (2019-2021). Kalimi nga një sistem kujdesi i centralizuar, i menaxhuar nga specialistët, në një qasje të decentralizuar me në qendër pacientin, e mbështetur kryesisht në sistemin e kujdesit të -</w:t>
      </w:r>
      <w:r w:rsidRPr="00EA1CA4">
        <w:rPr>
          <w:color w:val="000000"/>
          <w:lang w:eastAsia="ru-RU"/>
        </w:rPr>
        <w:lastRenderedPageBreak/>
        <w:t>së, pengohet nga mungesa e politikave që kujdesin për TB-in te</w:t>
      </w:r>
      <w:r w:rsidR="002B72D5" w:rsidRPr="00EA1CA4">
        <w:rPr>
          <w:color w:val="000000"/>
          <w:lang w:eastAsia="ru-RU"/>
        </w:rPr>
        <w:t>k</w:t>
      </w:r>
      <w:r w:rsidRPr="00EA1CA4">
        <w:rPr>
          <w:color w:val="000000"/>
          <w:lang w:eastAsia="ru-RU"/>
        </w:rPr>
        <w:t xml:space="preserve"> mjekët </w:t>
      </w:r>
      <w:r w:rsidR="002B72D5" w:rsidRPr="00EA1CA4">
        <w:rPr>
          <w:color w:val="000000"/>
          <w:lang w:eastAsia="ru-RU"/>
        </w:rPr>
        <w:t>f</w:t>
      </w:r>
      <w:r w:rsidRPr="00EA1CA4">
        <w:rPr>
          <w:color w:val="000000"/>
          <w:lang w:eastAsia="ru-RU"/>
        </w:rPr>
        <w:t>amilj</w:t>
      </w:r>
      <w:r w:rsidR="002B72D5" w:rsidRPr="00EA1CA4">
        <w:rPr>
          <w:color w:val="000000"/>
          <w:lang w:eastAsia="ru-RU"/>
        </w:rPr>
        <w:t>ar</w:t>
      </w:r>
      <w:r w:rsidRPr="00EA1CA4">
        <w:rPr>
          <w:color w:val="000000"/>
          <w:lang w:eastAsia="ru-RU"/>
        </w:rPr>
        <w:t>, mungesa e ekspertizës së mjekëve dhe infermierëve për TB-në; ngarkes</w:t>
      </w:r>
      <w:r w:rsidR="002B72D5" w:rsidRPr="00EA1CA4">
        <w:rPr>
          <w:color w:val="000000"/>
          <w:lang w:eastAsia="ru-RU"/>
        </w:rPr>
        <w:t>a</w:t>
      </w:r>
      <w:r w:rsidRPr="00EA1CA4">
        <w:rPr>
          <w:color w:val="000000"/>
          <w:lang w:eastAsia="ru-RU"/>
        </w:rPr>
        <w:t xml:space="preserve"> e tepërt e caktuar për mjekët familj</w:t>
      </w:r>
      <w:r w:rsidR="002B72D5" w:rsidRPr="00EA1CA4">
        <w:rPr>
          <w:color w:val="000000"/>
          <w:lang w:eastAsia="ru-RU"/>
        </w:rPr>
        <w:t>ar</w:t>
      </w:r>
      <w:r w:rsidRPr="00EA1CA4">
        <w:rPr>
          <w:color w:val="000000"/>
          <w:lang w:eastAsia="ru-RU"/>
        </w:rPr>
        <w:t>, duke përfshirë edhe punën e rëndë administrative</w:t>
      </w:r>
      <w:r w:rsidRPr="00EA1CA4">
        <w:rPr>
          <w:color w:val="000000"/>
        </w:rPr>
        <w:t>. Shërbimet e TB nuk janë pjesë e funksioneve të mjekut familj</w:t>
      </w:r>
      <w:r w:rsidR="002B72D5" w:rsidRPr="00EA1CA4">
        <w:rPr>
          <w:color w:val="000000"/>
        </w:rPr>
        <w:t>ar</w:t>
      </w:r>
      <w:r w:rsidRPr="00EA1CA4">
        <w:rPr>
          <w:color w:val="000000"/>
        </w:rPr>
        <w:t xml:space="preserve"> dhe infermierit zyrtarisht. Megjithatë, projekti pilot në Qendrën Kryesore të Mjekësisë Familjare në Prishtinë - Dispanseri për TB dhe sëmundje të mushkërive ka arritur të trajnojë dhe angazhojë dy mjekë familj</w:t>
      </w:r>
      <w:r w:rsidR="002B72D5" w:rsidRPr="00EA1CA4">
        <w:rPr>
          <w:color w:val="000000"/>
        </w:rPr>
        <w:t>ar p</w:t>
      </w:r>
      <w:r w:rsidRPr="00EA1CA4">
        <w:rPr>
          <w:color w:val="000000"/>
        </w:rPr>
        <w:t>ë</w:t>
      </w:r>
      <w:r w:rsidR="002B72D5" w:rsidRPr="00EA1CA4">
        <w:rPr>
          <w:color w:val="000000"/>
        </w:rPr>
        <w:t>r</w:t>
      </w:r>
      <w:r w:rsidRPr="00EA1CA4">
        <w:rPr>
          <w:color w:val="000000"/>
        </w:rPr>
        <w:t xml:space="preserve"> menaxhimin e pacientëve me TB</w:t>
      </w:r>
      <w:r w:rsidRPr="00EA1CA4">
        <w:rPr>
          <w:color w:val="000000"/>
          <w:lang w:eastAsia="ru-RU"/>
        </w:rPr>
        <w:t xml:space="preserve">. Investimet në shkallë të vogël për ndërhyrje strategjike do të mbështesin vlerësimin sistematik dhe shtrirjen e mëtejshme të këtij pilot në bashkitë e tjera. Pandemia e COVID-19 </w:t>
      </w:r>
      <w:r w:rsidR="002B72D5" w:rsidRPr="00EA1CA4">
        <w:rPr>
          <w:color w:val="000000"/>
          <w:lang w:eastAsia="ru-RU"/>
        </w:rPr>
        <w:t xml:space="preserve">ka zvarritur </w:t>
      </w:r>
      <w:r w:rsidRPr="00EA1CA4">
        <w:rPr>
          <w:color w:val="000000"/>
          <w:lang w:eastAsia="ru-RU"/>
        </w:rPr>
        <w:t xml:space="preserve">seriozisht zbatimin e aktiviteteve të qasjes </w:t>
      </w:r>
      <w:r w:rsidR="002B72D5" w:rsidRPr="00EA1CA4">
        <w:rPr>
          <w:color w:val="000000"/>
          <w:lang w:eastAsia="ru-RU"/>
        </w:rPr>
        <w:t xml:space="preserve">me pacientin </w:t>
      </w:r>
      <w:r w:rsidRPr="00EA1CA4">
        <w:rPr>
          <w:color w:val="000000"/>
          <w:lang w:eastAsia="ru-RU"/>
        </w:rPr>
        <w:t xml:space="preserve">në qendër në komunat e tjera.  </w:t>
      </w:r>
    </w:p>
    <w:p w:rsidR="00E90EA1" w:rsidRPr="00EA1CA4" w:rsidRDefault="00E90EA1" w:rsidP="00624E04">
      <w:pPr>
        <w:spacing w:line="276" w:lineRule="auto"/>
        <w:jc w:val="both"/>
        <w:rPr>
          <w:color w:val="000000"/>
        </w:rPr>
      </w:pPr>
      <w:r w:rsidRPr="00EA1CA4">
        <w:rPr>
          <w:b/>
          <w:bCs/>
          <w:color w:val="000000"/>
        </w:rPr>
        <w:t>Roli i ATD (</w:t>
      </w:r>
      <w:r w:rsidR="004473F9" w:rsidRPr="00EA1CA4">
        <w:rPr>
          <w:b/>
          <w:bCs/>
          <w:color w:val="000000"/>
        </w:rPr>
        <w:t>Dispanseri</w:t>
      </w:r>
      <w:r w:rsidR="002B72D5" w:rsidRPr="00EA1CA4">
        <w:rPr>
          <w:b/>
          <w:bCs/>
          <w:color w:val="000000"/>
        </w:rPr>
        <w:t xml:space="preserve">të kundër </w:t>
      </w:r>
      <w:r w:rsidRPr="00EA1CA4">
        <w:rPr>
          <w:b/>
          <w:bCs/>
          <w:color w:val="000000"/>
        </w:rPr>
        <w:t>TB</w:t>
      </w:r>
      <w:r w:rsidR="002B72D5" w:rsidRPr="00EA1CA4">
        <w:rPr>
          <w:b/>
          <w:bCs/>
          <w:color w:val="000000"/>
        </w:rPr>
        <w:t>-së</w:t>
      </w:r>
      <w:r w:rsidRPr="00EA1CA4">
        <w:rPr>
          <w:b/>
          <w:bCs/>
          <w:color w:val="000000"/>
        </w:rPr>
        <w:t>) në reformën e sektorit shëndetësor në zbatim duhet ende të ripërcaktohet dhe financimi të ri</w:t>
      </w:r>
      <w:r w:rsidR="002B72D5" w:rsidRPr="00EA1CA4">
        <w:rPr>
          <w:b/>
          <w:bCs/>
          <w:color w:val="000000"/>
        </w:rPr>
        <w:t>-</w:t>
      </w:r>
      <w:r w:rsidRPr="00EA1CA4">
        <w:rPr>
          <w:b/>
          <w:bCs/>
          <w:color w:val="000000"/>
        </w:rPr>
        <w:t>alokohet</w:t>
      </w:r>
      <w:r w:rsidRPr="00EA1CA4">
        <w:rPr>
          <w:color w:val="000000"/>
        </w:rPr>
        <w:t xml:space="preserve">. Menaxhimi dhe financimi i </w:t>
      </w:r>
      <w:r w:rsidR="002B72D5" w:rsidRPr="00EA1CA4">
        <w:rPr>
          <w:color w:val="000000"/>
        </w:rPr>
        <w:t xml:space="preserve">dispanserive </w:t>
      </w:r>
      <w:r w:rsidRPr="00EA1CA4">
        <w:rPr>
          <w:color w:val="000000"/>
        </w:rPr>
        <w:t xml:space="preserve">të TB mbulohet si nga MSH / objektet e Kujdesit Shëndetësor Sekondar (pesë </w:t>
      </w:r>
      <w:r w:rsidR="002B72D5" w:rsidRPr="00EA1CA4">
        <w:rPr>
          <w:color w:val="000000"/>
        </w:rPr>
        <w:t>dispanseri</w:t>
      </w:r>
      <w:r w:rsidRPr="00EA1CA4">
        <w:rPr>
          <w:color w:val="000000"/>
        </w:rPr>
        <w:t xml:space="preserve">) dhe nga autoritetet komunale /  (shtatë </w:t>
      </w:r>
      <w:r w:rsidR="002B72D5" w:rsidRPr="00EA1CA4">
        <w:rPr>
          <w:color w:val="000000"/>
        </w:rPr>
        <w:t>dispanseri</w:t>
      </w:r>
      <w:r w:rsidRPr="00EA1CA4">
        <w:rPr>
          <w:color w:val="000000"/>
        </w:rPr>
        <w:t>). Prandaj, zbatimi i një komponenti të rëndësishëm të programit të TB-së varet nga politikat e -së që nuk parashikojnë ofrimin e asnjë prej shërbimeve të specializuara dhe funksionimin e ATD brenda Qendrave Kryesore të Mjekësisë Familjare. Në disa raste, objektet komunale të kujdesit parësor shëndetësor kanë prioritetet e tyre, me TB jo gjithmonë në krye të listës</w:t>
      </w:r>
      <w:r w:rsidRPr="00EA1CA4">
        <w:rPr>
          <w:rStyle w:val="FootnoteReference"/>
          <w:color w:val="000000"/>
        </w:rPr>
        <w:footnoteReference w:id="66"/>
      </w:r>
      <w:r w:rsidRPr="00EA1CA4">
        <w:rPr>
          <w:color w:val="000000"/>
        </w:rPr>
        <w:t xml:space="preserve">. </w:t>
      </w:r>
    </w:p>
    <w:p w:rsidR="00E90EA1" w:rsidRPr="00EA1CA4" w:rsidRDefault="002B72D5" w:rsidP="00624E04">
      <w:pPr>
        <w:spacing w:line="276" w:lineRule="auto"/>
        <w:jc w:val="both"/>
        <w:rPr>
          <w:bCs/>
          <w:iCs/>
          <w:color w:val="000000"/>
        </w:rPr>
      </w:pPr>
      <w:r w:rsidRPr="00EA1CA4">
        <w:rPr>
          <w:b/>
          <w:iCs/>
          <w:color w:val="000000"/>
        </w:rPr>
        <w:t xml:space="preserve">Norma </w:t>
      </w:r>
      <w:r w:rsidR="00E90EA1" w:rsidRPr="00EA1CA4">
        <w:rPr>
          <w:b/>
          <w:iCs/>
          <w:color w:val="000000"/>
        </w:rPr>
        <w:t xml:space="preserve">të ulëta të zbulimit të rasteve </w:t>
      </w:r>
      <w:r w:rsidRPr="00EA1CA4">
        <w:rPr>
          <w:b/>
          <w:iCs/>
          <w:color w:val="000000"/>
        </w:rPr>
        <w:t xml:space="preserve">me </w:t>
      </w:r>
      <w:r w:rsidR="00E90EA1" w:rsidRPr="00EA1CA4">
        <w:rPr>
          <w:b/>
          <w:iCs/>
          <w:color w:val="000000"/>
        </w:rPr>
        <w:t xml:space="preserve">MDR-TB: </w:t>
      </w:r>
      <w:r w:rsidR="00E90EA1" w:rsidRPr="00EA1CA4">
        <w:rPr>
          <w:bCs/>
          <w:iCs/>
          <w:color w:val="000000"/>
        </w:rPr>
        <w:t xml:space="preserve">Ekziston një </w:t>
      </w:r>
      <w:r w:rsidRPr="00EA1CA4">
        <w:rPr>
          <w:bCs/>
          <w:iCs/>
          <w:color w:val="000000"/>
        </w:rPr>
        <w:t>normë</w:t>
      </w:r>
      <w:r w:rsidR="00E90EA1" w:rsidRPr="00EA1CA4">
        <w:rPr>
          <w:bCs/>
          <w:iCs/>
          <w:color w:val="000000"/>
        </w:rPr>
        <w:t xml:space="preserve"> e ulët e zbulimit të rasteve për TB rezistente ndaj shumë </w:t>
      </w:r>
      <w:r w:rsidRPr="00EA1CA4">
        <w:rPr>
          <w:bCs/>
          <w:iCs/>
          <w:color w:val="000000"/>
        </w:rPr>
        <w:t>barnave</w:t>
      </w:r>
      <w:r w:rsidR="00E90EA1" w:rsidRPr="00EA1CA4">
        <w:rPr>
          <w:bCs/>
          <w:iCs/>
          <w:color w:val="000000"/>
        </w:rPr>
        <w:t xml:space="preserve"> (MDR-TB). Gjatë dy viteve të fundit nuk është raportuar asnjë rast me MDR-TB</w:t>
      </w:r>
      <w:r w:rsidRPr="00EA1CA4">
        <w:rPr>
          <w:bCs/>
          <w:iCs/>
          <w:color w:val="000000"/>
        </w:rPr>
        <w:t>,</w:t>
      </w:r>
      <w:r w:rsidR="00E90EA1" w:rsidRPr="00EA1CA4">
        <w:rPr>
          <w:bCs/>
          <w:iCs/>
          <w:color w:val="000000"/>
        </w:rPr>
        <w:t xml:space="preserve"> pavarësisht nga parashikimet prej 3-5 raste </w:t>
      </w:r>
      <w:r w:rsidRPr="00EA1CA4">
        <w:rPr>
          <w:bCs/>
          <w:iCs/>
          <w:color w:val="000000"/>
        </w:rPr>
        <w:t xml:space="preserve">me </w:t>
      </w:r>
      <w:r w:rsidR="00E90EA1" w:rsidRPr="00EA1CA4">
        <w:rPr>
          <w:bCs/>
          <w:iCs/>
          <w:color w:val="000000"/>
        </w:rPr>
        <w:t xml:space="preserve">MDR në vit. Kjo ngre shqetësime për zbulimin dhe/ose nën-raportimin e rasteve që kërkojnë veprime të menjëhershme për ngritjen e kapaciteteve dhe lidhjen e ofruesve privatë të shërbimeve me programin kombëtar </w:t>
      </w:r>
      <w:r w:rsidRPr="00EA1CA4">
        <w:rPr>
          <w:bCs/>
          <w:iCs/>
          <w:color w:val="000000"/>
        </w:rPr>
        <w:t>kundër</w:t>
      </w:r>
      <w:r w:rsidR="00E90EA1" w:rsidRPr="00EA1CA4">
        <w:rPr>
          <w:bCs/>
          <w:iCs/>
          <w:color w:val="000000"/>
        </w:rPr>
        <w:t xml:space="preserve"> TB. Për më tepër, numri i rasteve të </w:t>
      </w:r>
      <w:r w:rsidRPr="00EA1CA4">
        <w:rPr>
          <w:bCs/>
          <w:iCs/>
          <w:color w:val="000000"/>
        </w:rPr>
        <w:t>zbuluara me TB</w:t>
      </w:r>
      <w:r w:rsidR="00E90EA1" w:rsidRPr="00EA1CA4">
        <w:rPr>
          <w:bCs/>
          <w:iCs/>
          <w:color w:val="000000"/>
        </w:rPr>
        <w:t xml:space="preserve"> tek fëmijët është gjithashtu nën parashikimet kombëtare</w:t>
      </w:r>
      <w:r w:rsidRPr="00EA1CA4">
        <w:rPr>
          <w:bCs/>
          <w:iCs/>
          <w:color w:val="000000"/>
        </w:rPr>
        <w:t>,</w:t>
      </w:r>
      <w:r w:rsidR="00E90EA1" w:rsidRPr="00EA1CA4">
        <w:rPr>
          <w:bCs/>
          <w:iCs/>
          <w:color w:val="000000"/>
        </w:rPr>
        <w:t xml:space="preserve"> dhe shkaku i mundshëm i kësaj i atribuohet vështirësive në diagnostikim dhe nën-raportim. Përveç kësaj, edhe pse Klinika e Pediatrisë e QKUK-së është e integruar nën ombrellën e </w:t>
      </w:r>
      <w:r w:rsidRPr="00EA1CA4">
        <w:rPr>
          <w:bCs/>
          <w:iCs/>
          <w:color w:val="000000"/>
        </w:rPr>
        <w:t>PKKTB</w:t>
      </w:r>
      <w:r w:rsidR="00E90EA1" w:rsidRPr="00EA1CA4">
        <w:rPr>
          <w:bCs/>
          <w:iCs/>
          <w:color w:val="000000"/>
        </w:rPr>
        <w:t xml:space="preserve">-së, bashkëpunimi i Klinikës së Pediatrisë me ATD-të rajonale nuk është i </w:t>
      </w:r>
      <w:r w:rsidR="00E90EA1" w:rsidRPr="00EA1CA4">
        <w:rPr>
          <w:bCs/>
          <w:iCs/>
          <w:color w:val="000000"/>
        </w:rPr>
        <w:lastRenderedPageBreak/>
        <w:t>kënaqshëm, duke çuar në nën-raportim të supozuar dhe vështirësi në mbajtjen e rasteve.</w:t>
      </w:r>
    </w:p>
    <w:p w:rsidR="00E90EA1" w:rsidRPr="00EA1CA4" w:rsidRDefault="00E90EA1" w:rsidP="00624E04">
      <w:pPr>
        <w:spacing w:line="276" w:lineRule="auto"/>
        <w:jc w:val="both"/>
        <w:rPr>
          <w:color w:val="000000"/>
        </w:rPr>
      </w:pPr>
      <w:r w:rsidRPr="00EA1CA4">
        <w:rPr>
          <w:b/>
          <w:iCs/>
          <w:color w:val="000000"/>
        </w:rPr>
        <w:t xml:space="preserve">Praktikat e dobëta të gjurmimit të kontaktit: </w:t>
      </w:r>
      <w:r w:rsidRPr="00EA1CA4">
        <w:rPr>
          <w:iCs/>
          <w:color w:val="000000"/>
        </w:rPr>
        <w:t xml:space="preserve">Megjithëse gjurmimi i kontaktit është treguar të jetë efektiv me kosto, vetëm gjysma e kontakteve të pacientëve me TB janë mbuluar me këtë ndërhyrje, me prioritet të rasteve të konfirmuara me TB. Kjo është për shkak të shpërndarjes së pabarabartë dhe numrit të vogël të ATD-ve, 12 ATD krahasuar me 38 komuna që rezulton në barriera gjeografike të </w:t>
      </w:r>
      <w:r w:rsidR="009F1CA2" w:rsidRPr="00EA1CA4">
        <w:rPr>
          <w:iCs/>
          <w:color w:val="000000"/>
        </w:rPr>
        <w:t>qasjes</w:t>
      </w:r>
      <w:r w:rsidRPr="00EA1CA4">
        <w:rPr>
          <w:iCs/>
          <w:color w:val="000000"/>
        </w:rPr>
        <w:t xml:space="preserve"> dhe numri i vogël i infermierëve vizitorë në shtëpi me përvojë në gjurmimin e kontakteve.</w:t>
      </w:r>
    </w:p>
    <w:p w:rsidR="00E90EA1" w:rsidRPr="00EA1CA4" w:rsidRDefault="00E90EA1" w:rsidP="00624E04">
      <w:pPr>
        <w:spacing w:line="276" w:lineRule="auto"/>
        <w:jc w:val="both"/>
        <w:rPr>
          <w:bCs/>
          <w:iCs/>
          <w:color w:val="000000"/>
        </w:rPr>
      </w:pPr>
      <w:r w:rsidRPr="00EA1CA4">
        <w:rPr>
          <w:b/>
          <w:iCs/>
          <w:color w:val="000000"/>
        </w:rPr>
        <w:t xml:space="preserve">Vazhdimësia e regjistrimit dhe raportimit është në rrezik: </w:t>
      </w:r>
      <w:r w:rsidRPr="00EA1CA4">
        <w:rPr>
          <w:iCs/>
          <w:color w:val="000000"/>
        </w:rPr>
        <w:t>Vazhdimësia e regjistrimit dhe raportimit të rasteve të TB e kryer nga koordinatorët rajonalë (</w:t>
      </w:r>
      <w:r w:rsidR="009F1CA2" w:rsidRPr="00EA1CA4">
        <w:rPr>
          <w:iCs/>
          <w:color w:val="000000"/>
        </w:rPr>
        <w:t>pulmologë</w:t>
      </w:r>
      <w:r w:rsidRPr="00EA1CA4">
        <w:rPr>
          <w:iCs/>
          <w:color w:val="000000"/>
        </w:rPr>
        <w:t>) është në rrezik për shkak të plakjes së stafit dhe mungesës së strategjive zëvendësuese.</w:t>
      </w:r>
    </w:p>
    <w:p w:rsidR="00E90EA1" w:rsidRPr="00EA1CA4" w:rsidRDefault="00E90EA1" w:rsidP="00624E04">
      <w:pPr>
        <w:spacing w:line="276" w:lineRule="auto"/>
        <w:jc w:val="both"/>
        <w:rPr>
          <w:bCs/>
          <w:iCs/>
          <w:color w:val="000000"/>
        </w:rPr>
      </w:pPr>
      <w:r w:rsidRPr="00EA1CA4">
        <w:rPr>
          <w:b/>
          <w:iCs/>
          <w:color w:val="000000"/>
        </w:rPr>
        <w:t xml:space="preserve">Ekzaminimi i TB në hyrje në sistemin e burgjeve dhe mungesa e masave për kontrollin e infeksionit: </w:t>
      </w:r>
      <w:r w:rsidRPr="00EA1CA4">
        <w:rPr>
          <w:iCs/>
          <w:color w:val="000000"/>
        </w:rPr>
        <w:t>TB në burg është nën kontroll me vetëm 2 raste në vitin 2018 dhe 1 rast në 2019 të diagnostikuar me hyrjen në sistemin e burgjeve. Procedurat e standardizuara për kontrollin e TB-së të të burgosurve gjatë pranimit në sistemin e burgjeve janë përcaktuar në bazë të rekomandimeve të OBSH-së. Masat e kontrollit të infeksionit në burgje duhet të forcohen më tej</w:t>
      </w:r>
      <w:r w:rsidRPr="00EA1CA4">
        <w:rPr>
          <w:bCs/>
          <w:iCs/>
          <w:color w:val="000000"/>
        </w:rPr>
        <w:t>.</w:t>
      </w:r>
    </w:p>
    <w:p w:rsidR="00E90EA1" w:rsidRPr="00EA1CA4" w:rsidRDefault="00E90EA1" w:rsidP="00624E04">
      <w:pPr>
        <w:spacing w:line="276" w:lineRule="auto"/>
        <w:jc w:val="both"/>
        <w:rPr>
          <w:color w:val="000000"/>
        </w:rPr>
      </w:pPr>
      <w:r w:rsidRPr="00EA1CA4">
        <w:rPr>
          <w:b/>
          <w:bCs/>
          <w:color w:val="000000"/>
        </w:rPr>
        <w:t xml:space="preserve">Shkalla e ulët e testimit të HIV midis pacientëve me tuberkuloz: </w:t>
      </w:r>
      <w:r w:rsidRPr="00EA1CA4">
        <w:rPr>
          <w:bCs/>
          <w:color w:val="000000"/>
        </w:rPr>
        <w:t>Shkalla e ulët e testimit të HIV-it të pacientëve me tuberkuloz (vetëm 29.8% e të gjithë pacientëve të njoftuar në 2018 kundrejt një objektivi prej 78%; të gjithë testohen negativë) mund të shpjegohet me refuzimin e disa HCV për të kryer testimin e HIV për pacientët me TB, që tregon stigmën e HIV-it në mesin e disa punonjësve të kujdesit shëndetësor dhe mund të rezultojë në nën-diagnozë</w:t>
      </w:r>
      <w:r w:rsidRPr="00EA1CA4">
        <w:rPr>
          <w:bCs/>
          <w:iCs/>
          <w:color w:val="000000"/>
        </w:rPr>
        <w:t>.</w:t>
      </w:r>
      <w:bookmarkStart w:id="55" w:name="_Ref82522179"/>
      <w:r w:rsidRPr="00EA1CA4">
        <w:rPr>
          <w:rStyle w:val="FootnoteReference"/>
          <w:bCs/>
          <w:iCs/>
          <w:color w:val="000000"/>
        </w:rPr>
        <w:footnoteReference w:id="67"/>
      </w:r>
      <w:bookmarkEnd w:id="55"/>
    </w:p>
    <w:p w:rsidR="00E90EA1" w:rsidRPr="00EA1CA4" w:rsidRDefault="00E90EA1" w:rsidP="00624E04">
      <w:pPr>
        <w:spacing w:line="276" w:lineRule="auto"/>
        <w:jc w:val="both"/>
        <w:rPr>
          <w:bCs/>
          <w:iCs/>
          <w:color w:val="000000"/>
        </w:rPr>
      </w:pPr>
      <w:r w:rsidRPr="00EA1CA4">
        <w:rPr>
          <w:b/>
          <w:bCs/>
          <w:color w:val="000000"/>
        </w:rPr>
        <w:t xml:space="preserve">Barrierat ligjore dhe institucionale pengojnë </w:t>
      </w:r>
      <w:r w:rsidR="009F1CA2" w:rsidRPr="00EA1CA4">
        <w:rPr>
          <w:b/>
          <w:bCs/>
          <w:color w:val="000000"/>
        </w:rPr>
        <w:t>qasjen</w:t>
      </w:r>
      <w:r w:rsidRPr="00EA1CA4">
        <w:rPr>
          <w:b/>
          <w:bCs/>
          <w:color w:val="000000"/>
        </w:rPr>
        <w:t xml:space="preserve"> në kujdesin ndaj TB: </w:t>
      </w:r>
      <w:r w:rsidRPr="00EA1CA4">
        <w:rPr>
          <w:color w:val="000000"/>
        </w:rPr>
        <w:t xml:space="preserve">Barriera të rëndësishme rregullatore dhe/ose institucionale ekzistojnë dhe kufizojnë </w:t>
      </w:r>
      <w:r w:rsidR="009F1CA2" w:rsidRPr="00EA1CA4">
        <w:rPr>
          <w:color w:val="000000"/>
        </w:rPr>
        <w:t>qasjen</w:t>
      </w:r>
      <w:r w:rsidRPr="00EA1CA4">
        <w:rPr>
          <w:color w:val="000000"/>
        </w:rPr>
        <w:t xml:space="preserve"> në kujdesin e duhur për tuberkulozin, veçanërisht për grupet e cenueshme dhe me rrezik të lartë të popullsisë (si të burgosurit dhe pakicat etnike). Stigmatizimi dhe diskriminimi i pacientëve me tuberkuloz në popullatën e përgjithshme është ende i lartë duke paraqitur një pengesë për </w:t>
      </w:r>
      <w:r w:rsidR="009F1CA2" w:rsidRPr="00EA1CA4">
        <w:rPr>
          <w:color w:val="000000"/>
        </w:rPr>
        <w:t>qasjen</w:t>
      </w:r>
      <w:r w:rsidRPr="00EA1CA4">
        <w:rPr>
          <w:color w:val="000000"/>
        </w:rPr>
        <w:t xml:space="preserve"> në objektet e kujdesit shëndetësor. Kjo e fundit duhet </w:t>
      </w:r>
      <w:r w:rsidRPr="00EA1CA4">
        <w:rPr>
          <w:color w:val="000000"/>
        </w:rPr>
        <w:lastRenderedPageBreak/>
        <w:t>të adresohet, ndër të tjera, përmes qasjeve multidisiplinare dhe shumë-sektoriale.</w:t>
      </w:r>
    </w:p>
    <w:p w:rsidR="00E90EA1" w:rsidRPr="00EA1CA4" w:rsidRDefault="00E90EA1" w:rsidP="00624E04">
      <w:pPr>
        <w:spacing w:line="276" w:lineRule="auto"/>
        <w:jc w:val="both"/>
        <w:rPr>
          <w:color w:val="000000"/>
        </w:rPr>
      </w:pPr>
      <w:r w:rsidRPr="00EA1CA4">
        <w:rPr>
          <w:b/>
          <w:bCs/>
        </w:rPr>
        <w:t xml:space="preserve">Praktikat e dobëta të kontrollit të infeksionit: </w:t>
      </w:r>
      <w:r w:rsidRPr="00EA1CA4">
        <w:rPr>
          <w:color w:val="000000"/>
        </w:rPr>
        <w:t>Ndërkohë që ekziston politika kombëtare e kontrollit dhe parandalimit të infeksionit, mungesa e masave të përshtatshme për Parandalimin dhe Kontrollin e Infeksionit (IPC) dhe respektimi i dobët rezulton në TB tek punonjësit e kujdesit shëndetësor.</w:t>
      </w:r>
      <w:r w:rsidR="002343B9" w:rsidRPr="00EA1CA4">
        <w:fldChar w:fldCharType="begin"/>
      </w:r>
      <w:r w:rsidRPr="00EA1CA4">
        <w:instrText xml:space="preserve"> NOTEREF _Ref82522179 \f \h  \* MERGEFORMAT </w:instrText>
      </w:r>
      <w:r w:rsidR="002343B9" w:rsidRPr="00EA1CA4">
        <w:fldChar w:fldCharType="separate"/>
      </w:r>
      <w:r w:rsidR="00DD5916" w:rsidRPr="00EA1CA4">
        <w:rPr>
          <w:rStyle w:val="FootnoteReference"/>
        </w:rPr>
        <w:t>69</w:t>
      </w:r>
      <w:r w:rsidR="002343B9" w:rsidRPr="00EA1CA4">
        <w:fldChar w:fldCharType="end"/>
      </w:r>
      <w:r w:rsidRPr="00EA1CA4">
        <w:rPr>
          <w:color w:val="000000"/>
        </w:rPr>
        <w:t xml:space="preserve"> Pothuajse në të gjitha spitalet rajonale pacientët me tuberkuloz izolohen dhe trajtohen në një repart të veçantë nga pacientët e tjerë, përveç Spitalit të Mitrovicës që ka repartin e sëmundjeve të mushkërive me vetëm dy dhoma të pacientëve. Situata në Klinikën për sëmundje të mushkërive të QKUK-së po ashtu kërkon më shumë vëmendje pasi kjo klinikë nuk ka tualete dhe ambiente të veçanta kuzhine për të sëmurët me TB</w:t>
      </w:r>
      <w:r w:rsidRPr="00EA1CA4">
        <w:t xml:space="preserve">.  </w:t>
      </w:r>
    </w:p>
    <w:p w:rsidR="00E90EA1" w:rsidRPr="00EA1CA4" w:rsidRDefault="00E90EA1" w:rsidP="00624E04">
      <w:pPr>
        <w:spacing w:line="276" w:lineRule="auto"/>
        <w:jc w:val="both"/>
        <w:rPr>
          <w:color w:val="000000"/>
          <w:lang w:eastAsia="ru-RU"/>
        </w:rPr>
      </w:pPr>
      <w:r w:rsidRPr="00EA1CA4">
        <w:rPr>
          <w:b/>
          <w:bCs/>
          <w:color w:val="000000"/>
          <w:lang w:eastAsia="ru-RU"/>
        </w:rPr>
        <w:t xml:space="preserve">Ndërprerje në </w:t>
      </w:r>
      <w:r w:rsidR="009F1CA2" w:rsidRPr="00EA1CA4">
        <w:rPr>
          <w:b/>
          <w:bCs/>
          <w:color w:val="000000"/>
          <w:lang w:eastAsia="ru-RU"/>
        </w:rPr>
        <w:t xml:space="preserve">qasjen </w:t>
      </w:r>
      <w:r w:rsidRPr="00EA1CA4">
        <w:rPr>
          <w:b/>
          <w:bCs/>
          <w:color w:val="000000"/>
          <w:lang w:eastAsia="ru-RU"/>
        </w:rPr>
        <w:t xml:space="preserve">në shërbime gjatë pandemisë COVID-19: </w:t>
      </w:r>
      <w:r w:rsidRPr="00EA1CA4">
        <w:rPr>
          <w:bCs/>
          <w:color w:val="000000"/>
          <w:lang w:eastAsia="ru-RU"/>
        </w:rPr>
        <w:t>Kosova si kudo në botë është prekur nga pandemia COVID-19 dhe kjo ka rezultuar me ndërprerje në ofrimin e shërbimeve siç konfirmohet nga raporti i Avokatit të Popullit për qasjen në shërbimet e kujdesit shëndetësor për personat e prekur me HIV dhe TB gjatë pandemisë COVID-19 në Kosovë</w:t>
      </w:r>
      <w:r w:rsidRPr="00EA1CA4">
        <w:rPr>
          <w:rStyle w:val="FootnoteReference"/>
          <w:color w:val="000000"/>
          <w:lang w:eastAsia="ru-RU"/>
        </w:rPr>
        <w:footnoteReference w:id="68"/>
      </w:r>
      <w:r w:rsidRPr="00EA1CA4">
        <w:rPr>
          <w:color w:val="000000"/>
          <w:lang w:eastAsia="ru-RU"/>
        </w:rPr>
        <w:t>. Departamentet e pulmonologjisë janë kthyer në departamente specifike për COVID-19 për t'i shërbyer pacientëve, duke lënë shumicën e pacientëve me TB të trajtohen në shtëpi pa monitorimin, trajtimin dhe ekzaminimet e duhura</w:t>
      </w:r>
      <w:r w:rsidRPr="00EA1CA4">
        <w:rPr>
          <w:rStyle w:val="FootnoteReference"/>
          <w:color w:val="000000"/>
          <w:lang w:eastAsia="ru-RU"/>
        </w:rPr>
        <w:footnoteReference w:id="69"/>
      </w:r>
      <w:r w:rsidRPr="00EA1CA4">
        <w:rPr>
          <w:color w:val="000000"/>
          <w:lang w:eastAsia="ru-RU"/>
        </w:rPr>
        <w:t xml:space="preserve">. </w:t>
      </w:r>
    </w:p>
    <w:p w:rsidR="00E90EA1" w:rsidRPr="00EA1CA4" w:rsidRDefault="00E90EA1" w:rsidP="00624E04">
      <w:pPr>
        <w:autoSpaceDE w:val="0"/>
        <w:autoSpaceDN w:val="0"/>
        <w:adjustRightInd w:val="0"/>
        <w:spacing w:line="276" w:lineRule="auto"/>
        <w:jc w:val="both"/>
        <w:rPr>
          <w:color w:val="000000"/>
          <w:lang w:eastAsia="ru-RU"/>
        </w:rPr>
      </w:pPr>
      <w:r w:rsidRPr="00EA1CA4">
        <w:rPr>
          <w:b/>
          <w:bCs/>
          <w:color w:val="000000"/>
          <w:lang w:eastAsia="ru-RU"/>
        </w:rPr>
        <w:t xml:space="preserve">Mungesa e udhëzimeve dhe mjeteve standarde për të rishikuar dhe përmirësuar cilësinë e shërbimeve: </w:t>
      </w:r>
      <w:r w:rsidRPr="00EA1CA4">
        <w:rPr>
          <w:color w:val="000000"/>
          <w:lang w:eastAsia="ru-RU"/>
        </w:rPr>
        <w:t>Strategjia kombëtare për përmirësimin e cilësisë dhe sigurisë së shërbimeve shëndetësore</w:t>
      </w:r>
      <w:r w:rsidRPr="00EA1CA4">
        <w:rPr>
          <w:rStyle w:val="FootnoteReference"/>
          <w:color w:val="000000"/>
          <w:lang w:eastAsia="ru-RU"/>
        </w:rPr>
        <w:footnoteReference w:id="70"/>
      </w:r>
      <w:r w:rsidRPr="00EA1CA4">
        <w:rPr>
          <w:color w:val="000000"/>
          <w:lang w:eastAsia="ru-RU"/>
        </w:rPr>
        <w:t xml:space="preserve"> nuk është përditësuar që nga viti 2016. Strategjia, ndonëse e </w:t>
      </w:r>
      <w:r w:rsidR="009F1CA2" w:rsidRPr="00EA1CA4">
        <w:rPr>
          <w:color w:val="000000"/>
          <w:lang w:eastAsia="ru-RU"/>
        </w:rPr>
        <w:t>vjetërsuar</w:t>
      </w:r>
      <w:r w:rsidRPr="00EA1CA4">
        <w:rPr>
          <w:color w:val="000000"/>
          <w:lang w:eastAsia="ru-RU"/>
        </w:rPr>
        <w:t xml:space="preserve">, thekson institucionalizimin e cilësisë dhe sigurisë në sistemin shëndetësor; përmirësimin e vazhdueshëm të performancës cilësore dhe sigurisë së shërbimeve shëndetësore në institucione dhe praktika mjekësore; akreditimin e institucioneve shëndetësore në përputhje me standardet përkatëse; zbatimin e praktikës më të mirë klinike të bazuar </w:t>
      </w:r>
      <w:r w:rsidRPr="00EA1CA4">
        <w:rPr>
          <w:color w:val="000000"/>
          <w:lang w:eastAsia="ru-RU"/>
        </w:rPr>
        <w:lastRenderedPageBreak/>
        <w:t>në prova shkencore; vendosjen e pacientëve në qendër të sistemit shëndetësor; dhe kontraktimin e organizatave shëndetësore në bazë të performancës cilësore</w:t>
      </w:r>
      <w:r w:rsidRPr="00EA1CA4">
        <w:rPr>
          <w:color w:val="000000"/>
          <w:lang w:eastAsia="en-US"/>
        </w:rPr>
        <w:t>. Strategjia thekson zbatimin e praktikës më të mirë klinike të bazuar në prova shkencore, megjithatë, jo të gjitha udhëzimet dhe protokollet klinike dhe laboratorike janë të përditësuara dhe në përputhje me rekomandimet më të fundit të OBSH-së. Kjo e fundit së bashku me kapacitetin e fuqisë punëtore dhe mungesën e sistemit funksional të sigurimit të cilësisë, pengon ofrimin e shërbimeve me cilësi të lartë</w:t>
      </w:r>
      <w:r w:rsidRPr="00EA1CA4">
        <w:rPr>
          <w:color w:val="000000"/>
          <w:lang w:eastAsia="ru-RU"/>
        </w:rPr>
        <w:t xml:space="preserve">. </w:t>
      </w:r>
    </w:p>
    <w:p w:rsidR="00E90EA1" w:rsidRPr="00EA1CA4" w:rsidRDefault="00E90EA1" w:rsidP="00624E04">
      <w:pPr>
        <w:spacing w:line="276" w:lineRule="auto"/>
        <w:jc w:val="both"/>
        <w:rPr>
          <w:color w:val="000000"/>
        </w:rPr>
      </w:pPr>
      <w:r w:rsidRPr="00EA1CA4">
        <w:t>Adresimi i sfidave: gjatë viteve 2022-2024, qeveria pritet të zbatojë një sërë aktivitetesh për të siguruar zgjerimin e ofrimit të shërbimit të TB-së, heqjen e barrierave me aplikimin e qasjeve inovative; përmirësimin e mjedisit legjislativ dhe rregullator; përmirësimin e sistemeve laboratorike cilësore dhe kapacitetit të burimeve njerëzore në përdorimin e qasjeve inovative</w:t>
      </w:r>
      <w:r w:rsidRPr="00EA1CA4">
        <w:rPr>
          <w:color w:val="000000"/>
        </w:rPr>
        <w:t xml:space="preserve">. </w:t>
      </w:r>
    </w:p>
    <w:p w:rsidR="004473F9" w:rsidRPr="00EA1CA4" w:rsidRDefault="004473F9" w:rsidP="00624E04">
      <w:pPr>
        <w:spacing w:line="276" w:lineRule="auto"/>
        <w:jc w:val="both"/>
        <w:rPr>
          <w:b/>
          <w:i/>
        </w:rPr>
      </w:pPr>
    </w:p>
    <w:p w:rsidR="003A1D8D" w:rsidRPr="00EA1CA4" w:rsidRDefault="00E90EA1" w:rsidP="003A1D8D">
      <w:pPr>
        <w:spacing w:line="276" w:lineRule="auto"/>
        <w:jc w:val="both"/>
        <w:rPr>
          <w:b/>
          <w:i/>
        </w:rPr>
      </w:pPr>
      <w:r w:rsidRPr="00EA1CA4">
        <w:rPr>
          <w:b/>
          <w:i/>
        </w:rPr>
        <w:t>Aktivitetet e planifikuara</w:t>
      </w:r>
    </w:p>
    <w:p w:rsidR="003A1D8D" w:rsidRPr="00EA1CA4" w:rsidRDefault="003A1D8D" w:rsidP="003A1D8D">
      <w:pPr>
        <w:spacing w:line="276" w:lineRule="auto"/>
        <w:jc w:val="both"/>
        <w:rPr>
          <w:b/>
          <w:i/>
        </w:rPr>
      </w:pPr>
    </w:p>
    <w:p w:rsidR="003A1D8D" w:rsidRPr="00EA1CA4" w:rsidRDefault="00E90EA1">
      <w:pPr>
        <w:pStyle w:val="ListParagraph"/>
        <w:numPr>
          <w:ilvl w:val="2"/>
          <w:numId w:val="38"/>
        </w:numPr>
        <w:spacing w:line="276" w:lineRule="auto"/>
        <w:jc w:val="both"/>
        <w:rPr>
          <w:rFonts w:ascii="Times New Roman" w:hAnsi="Times New Roman"/>
          <w:b/>
          <w:i/>
          <w:sz w:val="24"/>
          <w:szCs w:val="24"/>
          <w:lang w:val="sq-AL"/>
        </w:rPr>
      </w:pPr>
      <w:r w:rsidRPr="00EA1CA4">
        <w:rPr>
          <w:rFonts w:ascii="Times New Roman" w:hAnsi="Times New Roman"/>
          <w:color w:val="000000"/>
          <w:sz w:val="24"/>
          <w:szCs w:val="24"/>
          <w:lang w:val="sq-AL"/>
        </w:rPr>
        <w:t>Zhvillimi i një strategjie gjithëpërfshirëse dhe plan</w:t>
      </w:r>
      <w:r w:rsidR="00DA38C4" w:rsidRPr="00EA1CA4">
        <w:rPr>
          <w:rFonts w:ascii="Times New Roman" w:hAnsi="Times New Roman"/>
          <w:color w:val="000000"/>
          <w:sz w:val="24"/>
          <w:szCs w:val="24"/>
          <w:lang w:val="sq-AL"/>
        </w:rPr>
        <w:t>i</w:t>
      </w:r>
      <w:r w:rsidRPr="00EA1CA4">
        <w:rPr>
          <w:rFonts w:ascii="Times New Roman" w:hAnsi="Times New Roman"/>
          <w:color w:val="000000"/>
          <w:sz w:val="24"/>
          <w:szCs w:val="24"/>
          <w:lang w:val="sq-AL"/>
        </w:rPr>
        <w:t xml:space="preserve"> operacional për të </w:t>
      </w:r>
      <w:r w:rsidR="00DA38C4" w:rsidRPr="00EA1CA4">
        <w:rPr>
          <w:rFonts w:ascii="Times New Roman" w:hAnsi="Times New Roman"/>
          <w:color w:val="000000"/>
          <w:sz w:val="24"/>
          <w:szCs w:val="24"/>
          <w:lang w:val="sq-AL"/>
        </w:rPr>
        <w:t xml:space="preserve">përmirësuar </w:t>
      </w:r>
      <w:r w:rsidRPr="00EA1CA4">
        <w:rPr>
          <w:rFonts w:ascii="Times New Roman" w:hAnsi="Times New Roman"/>
          <w:color w:val="000000"/>
          <w:sz w:val="24"/>
          <w:szCs w:val="24"/>
          <w:lang w:val="sq-AL"/>
        </w:rPr>
        <w:t xml:space="preserve">modelin e ri të shërbimit të TB-së </w:t>
      </w:r>
      <w:r w:rsidR="00DA38C4" w:rsidRPr="00EA1CA4">
        <w:rPr>
          <w:rFonts w:ascii="Times New Roman" w:hAnsi="Times New Roman"/>
          <w:color w:val="000000"/>
          <w:sz w:val="24"/>
          <w:szCs w:val="24"/>
          <w:lang w:val="sq-AL"/>
        </w:rPr>
        <w:t xml:space="preserve">me </w:t>
      </w:r>
      <w:r w:rsidRPr="00EA1CA4">
        <w:rPr>
          <w:rFonts w:ascii="Times New Roman" w:hAnsi="Times New Roman"/>
          <w:color w:val="000000"/>
          <w:sz w:val="24"/>
          <w:szCs w:val="24"/>
          <w:lang w:val="sq-AL"/>
        </w:rPr>
        <w:t>në qendër pacienti</w:t>
      </w:r>
      <w:r w:rsidR="00DA38C4" w:rsidRPr="00EA1CA4">
        <w:rPr>
          <w:rFonts w:ascii="Times New Roman" w:hAnsi="Times New Roman"/>
          <w:color w:val="000000"/>
          <w:sz w:val="24"/>
          <w:szCs w:val="24"/>
          <w:lang w:val="sq-AL"/>
        </w:rPr>
        <w:t>n</w:t>
      </w:r>
      <w:r w:rsidRPr="00EA1CA4">
        <w:rPr>
          <w:rFonts w:ascii="Times New Roman" w:hAnsi="Times New Roman"/>
          <w:color w:val="000000"/>
          <w:sz w:val="24"/>
          <w:szCs w:val="24"/>
          <w:lang w:val="sq-AL"/>
        </w:rPr>
        <w:t xml:space="preserve"> </w:t>
      </w:r>
    </w:p>
    <w:p w:rsidR="003A1D8D" w:rsidRPr="00EA1CA4" w:rsidRDefault="00E90EA1">
      <w:pPr>
        <w:pStyle w:val="ListParagraph"/>
        <w:numPr>
          <w:ilvl w:val="2"/>
          <w:numId w:val="38"/>
        </w:numPr>
        <w:spacing w:line="276" w:lineRule="auto"/>
        <w:jc w:val="both"/>
        <w:rPr>
          <w:rFonts w:ascii="Times New Roman" w:hAnsi="Times New Roman"/>
          <w:b/>
          <w:i/>
          <w:sz w:val="24"/>
          <w:szCs w:val="24"/>
          <w:lang w:val="it-IT"/>
        </w:rPr>
      </w:pPr>
      <w:r w:rsidRPr="00EA1CA4">
        <w:rPr>
          <w:rFonts w:ascii="Times New Roman" w:hAnsi="Times New Roman"/>
          <w:bCs/>
          <w:iCs/>
          <w:color w:val="000000"/>
          <w:sz w:val="24"/>
          <w:szCs w:val="24"/>
          <w:lang w:val="it-IT"/>
        </w:rPr>
        <w:t>Zhvillimi i një k</w:t>
      </w:r>
      <w:r w:rsidR="00DA38C4" w:rsidRPr="00EA1CA4">
        <w:rPr>
          <w:rFonts w:ascii="Times New Roman" w:hAnsi="Times New Roman"/>
          <w:bCs/>
          <w:iCs/>
          <w:color w:val="000000"/>
          <w:sz w:val="24"/>
          <w:szCs w:val="24"/>
          <w:lang w:val="it-IT"/>
        </w:rPr>
        <w:t xml:space="preserve">ornize </w:t>
      </w:r>
      <w:r w:rsidRPr="00EA1CA4">
        <w:rPr>
          <w:rFonts w:ascii="Times New Roman" w:hAnsi="Times New Roman"/>
          <w:bCs/>
          <w:iCs/>
          <w:color w:val="000000"/>
          <w:sz w:val="24"/>
          <w:szCs w:val="24"/>
          <w:lang w:val="it-IT"/>
        </w:rPr>
        <w:t xml:space="preserve">politikash për integrimin e shërbimeve të TB në  </w:t>
      </w:r>
    </w:p>
    <w:p w:rsidR="003A1D8D" w:rsidRPr="00EA1CA4" w:rsidRDefault="00DA38C4">
      <w:pPr>
        <w:pStyle w:val="ListParagraph"/>
        <w:numPr>
          <w:ilvl w:val="2"/>
          <w:numId w:val="38"/>
        </w:numPr>
        <w:spacing w:line="276" w:lineRule="auto"/>
        <w:jc w:val="both"/>
        <w:rPr>
          <w:rFonts w:ascii="Times New Roman" w:hAnsi="Times New Roman"/>
          <w:b/>
          <w:i/>
          <w:sz w:val="24"/>
          <w:szCs w:val="24"/>
          <w:lang w:val="it-IT"/>
        </w:rPr>
      </w:pPr>
      <w:r w:rsidRPr="00EA1CA4">
        <w:rPr>
          <w:rFonts w:ascii="Times New Roman" w:hAnsi="Times New Roman"/>
          <w:color w:val="000000"/>
          <w:sz w:val="24"/>
          <w:szCs w:val="24"/>
          <w:lang w:val="sq-AL"/>
        </w:rPr>
        <w:t>Krijimi i mekanizmit për përmirësimin e koordinimit dhe krijimi i mekanizmit të përbashkët të raportimit të PKTB me shërbimet e TB në sektorin priv</w:t>
      </w:r>
      <w:r w:rsidR="00E90EA1" w:rsidRPr="00EA1CA4">
        <w:rPr>
          <w:rFonts w:ascii="Times New Roman" w:hAnsi="Times New Roman"/>
          <w:color w:val="000000"/>
          <w:sz w:val="24"/>
          <w:szCs w:val="24"/>
          <w:lang w:val="sq-AL"/>
        </w:rPr>
        <w:t xml:space="preserve">at </w:t>
      </w:r>
    </w:p>
    <w:p w:rsidR="003A1D8D" w:rsidRPr="00EA1CA4" w:rsidRDefault="00DA38C4">
      <w:pPr>
        <w:pStyle w:val="ListParagraph"/>
        <w:numPr>
          <w:ilvl w:val="2"/>
          <w:numId w:val="38"/>
        </w:numPr>
        <w:spacing w:line="276" w:lineRule="auto"/>
        <w:jc w:val="both"/>
        <w:rPr>
          <w:rFonts w:ascii="Times New Roman" w:hAnsi="Times New Roman"/>
          <w:b/>
          <w:i/>
          <w:sz w:val="24"/>
          <w:szCs w:val="24"/>
          <w:lang w:val="it-IT"/>
        </w:rPr>
      </w:pPr>
      <w:r w:rsidRPr="00EA1CA4">
        <w:rPr>
          <w:rFonts w:ascii="Times New Roman" w:hAnsi="Times New Roman"/>
          <w:bCs/>
          <w:iCs/>
          <w:color w:val="000000"/>
          <w:sz w:val="24"/>
          <w:szCs w:val="24"/>
          <w:lang w:val="sq-AL"/>
        </w:rPr>
        <w:t>Orientimi i lidhjeve ndërmjet punonjësve shëndetësorë dhe punonjësve shëndetësorë në komunitet, duke zhvilluar algoritme referimi dhe kundër referimi (rrugët e pacientëve) dhe ngritjen e kapaciteteve të OSHC-ve dhe ofruesve të kujdesit shëndetësor në rrugët e referimit dhe kundër referimit</w:t>
      </w:r>
    </w:p>
    <w:p w:rsidR="003A1D8D" w:rsidRPr="00EA1CA4" w:rsidRDefault="00DA38C4">
      <w:pPr>
        <w:pStyle w:val="ListParagraph"/>
        <w:numPr>
          <w:ilvl w:val="2"/>
          <w:numId w:val="38"/>
        </w:numPr>
        <w:spacing w:line="276" w:lineRule="auto"/>
        <w:jc w:val="both"/>
        <w:rPr>
          <w:rFonts w:ascii="Times New Roman" w:hAnsi="Times New Roman"/>
          <w:b/>
          <w:i/>
          <w:sz w:val="24"/>
          <w:szCs w:val="24"/>
          <w:lang w:val="it-IT"/>
        </w:rPr>
      </w:pPr>
      <w:r w:rsidRPr="00EA1CA4">
        <w:rPr>
          <w:rFonts w:ascii="Times New Roman" w:hAnsi="Times New Roman"/>
          <w:bCs/>
          <w:iCs/>
          <w:color w:val="000000"/>
          <w:sz w:val="24"/>
          <w:szCs w:val="24"/>
          <w:lang w:val="sq-AL"/>
        </w:rPr>
        <w:t xml:space="preserve">Trajnimi dhe ri-trajnimi i mjekëve dhe infermierëve familjar në nivel të </w:t>
      </w:r>
      <w:r w:rsidR="00981C51" w:rsidRPr="00EA1CA4">
        <w:rPr>
          <w:rFonts w:ascii="Times New Roman" w:hAnsi="Times New Roman"/>
          <w:bCs/>
          <w:iCs/>
          <w:color w:val="000000"/>
          <w:sz w:val="24"/>
          <w:szCs w:val="24"/>
          <w:lang w:val="sq-AL"/>
        </w:rPr>
        <w:t>KSHP</w:t>
      </w:r>
      <w:r w:rsidRPr="00EA1CA4">
        <w:rPr>
          <w:rFonts w:ascii="Times New Roman" w:hAnsi="Times New Roman"/>
          <w:bCs/>
          <w:iCs/>
          <w:color w:val="000000"/>
          <w:sz w:val="24"/>
          <w:szCs w:val="24"/>
          <w:lang w:val="sq-AL"/>
        </w:rPr>
        <w:t xml:space="preserve"> për detektimin dhe gjurmimin e kontakteve të TB-së, diagnostikimin, menaxhimin e rasteve, DOT ambulatore, hetimin dhe trajtimin e LTBI, trajtimin, transportin e sputumit, sistemin e raportimit elektronik dhe sensibilizimin ndaj stigmës dhe diskriminimit të pacientëve me TB dhe TB-HIV</w:t>
      </w:r>
    </w:p>
    <w:p w:rsidR="003A1D8D" w:rsidRPr="00EA1CA4" w:rsidRDefault="00E90EA1">
      <w:pPr>
        <w:pStyle w:val="ListParagraph"/>
        <w:numPr>
          <w:ilvl w:val="2"/>
          <w:numId w:val="38"/>
        </w:numPr>
        <w:spacing w:line="276" w:lineRule="auto"/>
        <w:jc w:val="both"/>
        <w:rPr>
          <w:rFonts w:ascii="Times New Roman" w:hAnsi="Times New Roman"/>
          <w:b/>
          <w:i/>
          <w:sz w:val="24"/>
          <w:szCs w:val="24"/>
          <w:lang w:val="it-IT"/>
        </w:rPr>
      </w:pPr>
      <w:r w:rsidRPr="00EA1CA4">
        <w:rPr>
          <w:rFonts w:ascii="Times New Roman" w:hAnsi="Times New Roman"/>
          <w:sz w:val="24"/>
          <w:szCs w:val="24"/>
          <w:lang w:val="sq-AL"/>
        </w:rPr>
        <w:lastRenderedPageBreak/>
        <w:t xml:space="preserve">Përditësimi i udhëzimeve klinike dhe protokollet për TB-në dhe ngritja e kapaciteteve të stafit të TB-së </w:t>
      </w:r>
    </w:p>
    <w:p w:rsidR="00E90EA1" w:rsidRPr="00EA1CA4" w:rsidRDefault="00DA38C4">
      <w:pPr>
        <w:pStyle w:val="ListParagraph"/>
        <w:numPr>
          <w:ilvl w:val="2"/>
          <w:numId w:val="38"/>
        </w:numPr>
        <w:spacing w:line="276" w:lineRule="auto"/>
        <w:jc w:val="both"/>
        <w:rPr>
          <w:rFonts w:ascii="Times New Roman" w:hAnsi="Times New Roman"/>
          <w:b/>
          <w:i/>
          <w:sz w:val="24"/>
          <w:szCs w:val="24"/>
          <w:lang w:val="it-IT"/>
        </w:rPr>
      </w:pPr>
      <w:r w:rsidRPr="00EA1CA4">
        <w:rPr>
          <w:rFonts w:ascii="Times New Roman" w:hAnsi="Times New Roman"/>
          <w:bCs/>
          <w:iCs/>
          <w:color w:val="000000"/>
          <w:sz w:val="24"/>
          <w:szCs w:val="24"/>
          <w:lang w:val="sq-AL"/>
        </w:rPr>
        <w:t>Krijimi i sistemit të vlerësimit të cilësisë së shërbimit dhe përmirësimit të vazhdueshëm të cilësisë nëpërmjet institucionalizimit të strukturave të menaxhimit të cilësisë për të gjithë ofruesit e shërbimeve (publike, private, OSHC); zhvillimin dhe miratimin e standardeve të cilësisë së shërbimeve të TB dhe treguesve të performancës; zhvillimin e udhëzimeve metodologjike për vlerësimin e cilësisë dhe përmirësimin e vazhdueshëm të cilësisë; dhe ngritjen e kapaciteteve të organizatave ofruese të shërbimeve lidhur me procedurat e vetëvlerësimit</w:t>
      </w:r>
      <w:r w:rsidR="00E90EA1" w:rsidRPr="00EA1CA4">
        <w:rPr>
          <w:rFonts w:ascii="Times New Roman" w:hAnsi="Times New Roman"/>
          <w:bCs/>
          <w:iCs/>
          <w:color w:val="000000"/>
          <w:sz w:val="24"/>
          <w:szCs w:val="24"/>
          <w:lang w:val="sq-AL"/>
        </w:rPr>
        <w:t>.</w:t>
      </w:r>
    </w:p>
    <w:p w:rsidR="00E90EA1" w:rsidRPr="00EA1CA4" w:rsidRDefault="00E90EA1" w:rsidP="00624E04">
      <w:pPr>
        <w:spacing w:line="276" w:lineRule="auto"/>
        <w:jc w:val="both"/>
        <w:rPr>
          <w:b/>
        </w:rPr>
      </w:pPr>
    </w:p>
    <w:p w:rsidR="00E90EA1" w:rsidRPr="00EA1CA4" w:rsidRDefault="00E90EA1" w:rsidP="00624E04">
      <w:pPr>
        <w:spacing w:line="276" w:lineRule="auto"/>
        <w:jc w:val="both"/>
        <w:rPr>
          <w:b/>
        </w:rPr>
      </w:pPr>
      <w:r w:rsidRPr="00EA1CA4">
        <w:rPr>
          <w:b/>
        </w:rPr>
        <w:t>Objektivi specifik 4: Forcimi dhe avokimi i sistemeve të komunitetit</w:t>
      </w:r>
    </w:p>
    <w:p w:rsidR="00E90EA1" w:rsidRPr="00EA1CA4" w:rsidRDefault="00E90EA1" w:rsidP="00624E04">
      <w:pPr>
        <w:spacing w:line="276" w:lineRule="auto"/>
        <w:jc w:val="both"/>
        <w:rPr>
          <w:b/>
        </w:rPr>
      </w:pPr>
    </w:p>
    <w:p w:rsidR="00E90EA1" w:rsidRPr="00EA1CA4" w:rsidRDefault="00E90EA1" w:rsidP="00624E04">
      <w:pPr>
        <w:spacing w:line="276" w:lineRule="auto"/>
        <w:jc w:val="both"/>
        <w:rPr>
          <w:b/>
        </w:rPr>
      </w:pPr>
      <w:r w:rsidRPr="00EA1CA4">
        <w:rPr>
          <w:b/>
        </w:rPr>
        <w:t xml:space="preserve">Rezultati 4.1 Forcimi i sistemeve të komunitetit për TB dhe angazhimi i shoqërisë civile </w:t>
      </w:r>
    </w:p>
    <w:p w:rsidR="00E90EA1" w:rsidRPr="00EA1CA4" w:rsidRDefault="00E90EA1" w:rsidP="00624E04">
      <w:pPr>
        <w:spacing w:line="276" w:lineRule="auto"/>
        <w:jc w:val="both"/>
        <w:rPr>
          <w:b/>
          <w:lang w:eastAsia="en-US"/>
        </w:rPr>
      </w:pPr>
    </w:p>
    <w:p w:rsidR="00E90EA1" w:rsidRPr="00EA1CA4" w:rsidRDefault="00E90EA1" w:rsidP="00624E04">
      <w:pPr>
        <w:spacing w:line="276" w:lineRule="auto"/>
        <w:jc w:val="both"/>
        <w:rPr>
          <w:lang w:eastAsia="en-US"/>
        </w:rPr>
      </w:pPr>
      <w:r w:rsidRPr="00EA1CA4">
        <w:rPr>
          <w:b/>
          <w:lang w:eastAsia="en-US"/>
        </w:rPr>
        <w:t>Përfaqësimi i OSHC-ve në organin koordinues të nivelit të lartë</w:t>
      </w:r>
      <w:r w:rsidRPr="00EA1CA4">
        <w:rPr>
          <w:lang w:eastAsia="en-US"/>
        </w:rPr>
        <w:t>: Sipas Planit të Veprimit të OBSH-së</w:t>
      </w:r>
      <w:bookmarkStart w:id="56" w:name="_Ref82876581"/>
      <w:r w:rsidRPr="00EA1CA4">
        <w:rPr>
          <w:rStyle w:val="FootnoteReference"/>
          <w:lang w:eastAsia="en-US"/>
        </w:rPr>
        <w:footnoteReference w:id="71"/>
      </w:r>
      <w:bookmarkEnd w:id="56"/>
      <w:r w:rsidRPr="00EA1CA4">
        <w:rPr>
          <w:lang w:eastAsia="en-US"/>
        </w:rPr>
        <w:t xml:space="preserve"> Shtetet </w:t>
      </w:r>
      <w:r w:rsidR="00DA38C4" w:rsidRPr="00EA1CA4">
        <w:rPr>
          <w:lang w:eastAsia="en-US"/>
        </w:rPr>
        <w:t>A</w:t>
      </w:r>
      <w:r w:rsidRPr="00EA1CA4">
        <w:rPr>
          <w:lang w:eastAsia="en-US"/>
        </w:rPr>
        <w:t xml:space="preserve">nëtare pritet të përfshijnë sistematikisht përfaqësues të komuniteteve të prekura dhe të shoqërisë civile në planifikimin, zbatimin dhe monitorimin e programit kombëtar të tuberkulozit, si dhe në vlerësimet e cilësisë së shërbimeve. Angazhimi i organizatave të shoqërisë civile në reagimin ndaj TB-së në Kosovë është disi i kufizuar me pak OJQ të përfshira në menaxhimin e programit të TB-së, shërbimet e lidhura me TB-në që synojnë PK-në, mbikëqyrjen e sëmundjeve dhe punën e avokimit. Megjithatë, përfaqësimi i tyre në MKV është siguruar. Disa veprime për të mbështetur koordinimin e programit dhe ofrimin e shërbimeve të TB përmes organizatave të shoqërisë civile janë adresuar në </w:t>
      </w:r>
      <w:r w:rsidR="00DA38C4" w:rsidRPr="00EA1CA4">
        <w:rPr>
          <w:lang w:eastAsia="en-US"/>
        </w:rPr>
        <w:t>O</w:t>
      </w:r>
      <w:r w:rsidRPr="00EA1CA4">
        <w:rPr>
          <w:lang w:eastAsia="en-US"/>
        </w:rPr>
        <w:t xml:space="preserve">S2 dhe </w:t>
      </w:r>
      <w:r w:rsidR="00DA38C4" w:rsidRPr="00EA1CA4">
        <w:rPr>
          <w:lang w:eastAsia="en-US"/>
        </w:rPr>
        <w:t>O</w:t>
      </w:r>
      <w:r w:rsidRPr="00EA1CA4">
        <w:rPr>
          <w:lang w:eastAsia="en-US"/>
        </w:rPr>
        <w:t>S3 (Rezultati 2.1; faqe 11 dhe Rezultati 3.1; faqe 11).</w:t>
      </w:r>
    </w:p>
    <w:p w:rsidR="00E90EA1" w:rsidRPr="00EA1CA4" w:rsidRDefault="00E90EA1" w:rsidP="00624E04">
      <w:pPr>
        <w:spacing w:line="276" w:lineRule="auto"/>
        <w:jc w:val="both"/>
        <w:rPr>
          <w:lang w:eastAsia="en-US"/>
        </w:rPr>
      </w:pPr>
      <w:r w:rsidRPr="00EA1CA4">
        <w:rPr>
          <w:b/>
          <w:lang w:eastAsia="en-US"/>
        </w:rPr>
        <w:t>Zhvillimi i strategjisë së avokimit, komunikimit dhe mobilizimit social (</w:t>
      </w:r>
      <w:r w:rsidR="00DA38C4" w:rsidRPr="00EA1CA4">
        <w:rPr>
          <w:b/>
          <w:lang w:eastAsia="en-US"/>
        </w:rPr>
        <w:t>AKMS</w:t>
      </w:r>
      <w:r w:rsidRPr="00EA1CA4">
        <w:rPr>
          <w:b/>
          <w:lang w:eastAsia="en-US"/>
        </w:rPr>
        <w:t xml:space="preserve">) dhe planit </w:t>
      </w:r>
      <w:r w:rsidR="00DA38C4" w:rsidRPr="00EA1CA4">
        <w:rPr>
          <w:b/>
          <w:lang w:eastAsia="en-US"/>
        </w:rPr>
        <w:t>FSK</w:t>
      </w:r>
      <w:r w:rsidRPr="00EA1CA4">
        <w:rPr>
          <w:lang w:eastAsia="en-US"/>
        </w:rPr>
        <w:t xml:space="preserve">: Për të rritur njohuritë dhe aksesin në ofrimin e përmirësuar të shërbimeve </w:t>
      </w:r>
      <w:r w:rsidRPr="00EA1CA4">
        <w:rPr>
          <w:lang w:eastAsia="en-US"/>
        </w:rPr>
        <w:lastRenderedPageBreak/>
        <w:t xml:space="preserve">shëndetësore, do të duhet të përcaktohen planet e </w:t>
      </w:r>
      <w:r w:rsidR="00DA38C4" w:rsidRPr="00EA1CA4">
        <w:rPr>
          <w:lang w:eastAsia="en-US"/>
        </w:rPr>
        <w:t>FSK</w:t>
      </w:r>
      <w:r w:rsidRPr="00EA1CA4">
        <w:rPr>
          <w:lang w:eastAsia="en-US"/>
        </w:rPr>
        <w:t xml:space="preserve"> dhe strategjitë </w:t>
      </w:r>
      <w:r w:rsidR="00DA38C4" w:rsidRPr="00EA1CA4">
        <w:rPr>
          <w:lang w:eastAsia="en-US"/>
        </w:rPr>
        <w:t>AKMS</w:t>
      </w:r>
      <w:r w:rsidRPr="00EA1CA4">
        <w:rPr>
          <w:lang w:eastAsia="en-US"/>
        </w:rPr>
        <w:t>. Plani do të përfshijë ngritjen e kapaciteteve të OSHC-ve/organizatave të komunitetit, forcimin e infrastrukturës dhe sistemeve, ndërtimin e partneritetit dhe zhvillimin e zgjidhjeve të qëndrueshme të financimit</w:t>
      </w:r>
      <w:r w:rsidR="00D75ED6">
        <w:fldChar w:fldCharType="begin"/>
      </w:r>
      <w:r w:rsidR="00D75ED6">
        <w:instrText xml:space="preserve"> NOTEREF _Ref82876</w:instrText>
      </w:r>
      <w:r w:rsidR="00D75ED6">
        <w:instrText xml:space="preserve">581 \f \h  \* MERGEFORMAT </w:instrText>
      </w:r>
      <w:r w:rsidR="00D75ED6">
        <w:fldChar w:fldCharType="separate"/>
      </w:r>
      <w:r w:rsidR="00DD5916" w:rsidRPr="00EA1CA4">
        <w:rPr>
          <w:rStyle w:val="FootnoteReference"/>
        </w:rPr>
        <w:t>73</w:t>
      </w:r>
      <w:r w:rsidR="00D75ED6">
        <w:fldChar w:fldCharType="end"/>
      </w:r>
      <w:r w:rsidRPr="00EA1CA4">
        <w:rPr>
          <w:lang w:eastAsia="en-US"/>
        </w:rPr>
        <w:t xml:space="preserve">. </w:t>
      </w:r>
    </w:p>
    <w:p w:rsidR="00E90EA1" w:rsidRPr="00EA1CA4" w:rsidRDefault="00E90EA1" w:rsidP="00624E04">
      <w:pPr>
        <w:spacing w:line="276" w:lineRule="auto"/>
        <w:jc w:val="both"/>
        <w:rPr>
          <w:lang w:eastAsia="en-US"/>
        </w:rPr>
      </w:pPr>
      <w:r w:rsidRPr="00EA1CA4">
        <w:rPr>
          <w:b/>
          <w:lang w:eastAsia="en-US"/>
        </w:rPr>
        <w:t xml:space="preserve">Strategjitë novatore të komunikimit: </w:t>
      </w:r>
      <w:r w:rsidRPr="00EA1CA4">
        <w:rPr>
          <w:lang w:eastAsia="en-US"/>
        </w:rPr>
        <w:t xml:space="preserve">Bashkëpunimi ndërmjet programit kombëtar për TB, institucioneve shëndetësore dhe ofruesve privatë të shëndetit, OSHC-ve dhe komuniteteve të prekura do të nxitet. Nëpërmjet partneritetit do të parashikohen një sërë aktivitetesh: zhvillimi dhe zbatimi i strategjive të komunikimit për të rritur ndërgjegjësimin e publikut për TB-në, të drejtat e njeriut dhe çështjet etike, dhe për të reduktuar stigmën e lidhur me tuberkulozin midis popullatës së përgjithshme dhe punonjësve të kujdesit shëndetësor. Për këtë qëllim do të përdoren kanale të ndryshme komunikimi (TV, radio, media sociale); do të kërkohet sensibilizimi dhe rritja e angazhimit pozitiv të drejtuesve të komunitetit, si dhe të liderëve fetarë, aktivistëve të komunitetit dhe liderëve të opinionit. Fushata publike do të organizohet në Ditën Botërore të TB-së më 24 mars të çdo viti. </w:t>
      </w:r>
    </w:p>
    <w:p w:rsidR="00DA38C4" w:rsidRPr="00EA1CA4" w:rsidRDefault="00DA38C4" w:rsidP="00624E04">
      <w:pPr>
        <w:spacing w:line="276" w:lineRule="auto"/>
        <w:jc w:val="both"/>
        <w:rPr>
          <w:b/>
          <w:i/>
          <w:lang w:eastAsia="en-US"/>
        </w:rPr>
      </w:pPr>
    </w:p>
    <w:p w:rsidR="006E79FC" w:rsidRPr="00EA1CA4" w:rsidRDefault="00E90EA1" w:rsidP="006E79FC">
      <w:pPr>
        <w:spacing w:line="276" w:lineRule="auto"/>
        <w:jc w:val="both"/>
        <w:rPr>
          <w:lang w:eastAsia="en-US"/>
        </w:rPr>
      </w:pPr>
      <w:r w:rsidRPr="00EA1CA4">
        <w:rPr>
          <w:b/>
          <w:i/>
          <w:lang w:eastAsia="en-US"/>
        </w:rPr>
        <w:t>Aktivitetet e planifikuara</w:t>
      </w:r>
      <w:r w:rsidRPr="00EA1CA4">
        <w:rPr>
          <w:lang w:eastAsia="en-US"/>
        </w:rPr>
        <w:t xml:space="preserve">: </w:t>
      </w:r>
    </w:p>
    <w:p w:rsidR="006E79FC" w:rsidRPr="00EA1CA4" w:rsidRDefault="006E79FC" w:rsidP="006E79FC">
      <w:pPr>
        <w:spacing w:line="276" w:lineRule="auto"/>
        <w:jc w:val="both"/>
        <w:rPr>
          <w:lang w:eastAsia="en-US"/>
        </w:rPr>
      </w:pPr>
    </w:p>
    <w:p w:rsidR="006E79FC" w:rsidRPr="00EA1CA4" w:rsidRDefault="006E79FC">
      <w:pPr>
        <w:pStyle w:val="ListParagraph"/>
        <w:numPr>
          <w:ilvl w:val="2"/>
          <w:numId w:val="39"/>
        </w:numPr>
        <w:spacing w:line="276" w:lineRule="auto"/>
        <w:jc w:val="both"/>
        <w:rPr>
          <w:rFonts w:ascii="Times New Roman" w:hAnsi="Times New Roman"/>
          <w:sz w:val="24"/>
          <w:szCs w:val="24"/>
        </w:rPr>
      </w:pPr>
      <w:r w:rsidRPr="00EA1CA4">
        <w:rPr>
          <w:rFonts w:ascii="Times New Roman" w:hAnsi="Times New Roman"/>
          <w:sz w:val="24"/>
          <w:szCs w:val="24"/>
        </w:rPr>
        <w:t xml:space="preserve">    </w:t>
      </w:r>
      <w:r w:rsidR="00E90EA1" w:rsidRPr="00EA1CA4">
        <w:rPr>
          <w:rFonts w:ascii="Times New Roman" w:hAnsi="Times New Roman"/>
          <w:sz w:val="24"/>
          <w:szCs w:val="24"/>
        </w:rPr>
        <w:t xml:space="preserve">Zhvillimi i Planit të Forcimit të Sistemeve Komunitare </w:t>
      </w:r>
    </w:p>
    <w:p w:rsidR="006E79FC" w:rsidRPr="00EA1CA4" w:rsidRDefault="00E90EA1">
      <w:pPr>
        <w:pStyle w:val="ListParagraph"/>
        <w:numPr>
          <w:ilvl w:val="2"/>
          <w:numId w:val="39"/>
        </w:numPr>
        <w:spacing w:line="276" w:lineRule="auto"/>
        <w:jc w:val="both"/>
        <w:rPr>
          <w:rFonts w:ascii="Times New Roman" w:hAnsi="Times New Roman"/>
          <w:sz w:val="24"/>
          <w:szCs w:val="24"/>
          <w:lang w:val="it-IT"/>
        </w:rPr>
      </w:pPr>
      <w:r w:rsidRPr="00EA1CA4">
        <w:rPr>
          <w:rFonts w:ascii="Times New Roman" w:hAnsi="Times New Roman"/>
          <w:sz w:val="24"/>
          <w:szCs w:val="24"/>
          <w:lang w:val="it-IT"/>
        </w:rPr>
        <w:t xml:space="preserve">Sigurimi i ngritjes së kapaciteteve </w:t>
      </w:r>
      <w:r w:rsidR="00DA38C4" w:rsidRPr="00EA1CA4">
        <w:rPr>
          <w:rFonts w:ascii="Times New Roman" w:hAnsi="Times New Roman"/>
          <w:sz w:val="24"/>
          <w:szCs w:val="24"/>
          <w:lang w:val="it-IT"/>
        </w:rPr>
        <w:t>t</w:t>
      </w:r>
      <w:r w:rsidRPr="00EA1CA4">
        <w:rPr>
          <w:rFonts w:ascii="Times New Roman" w:hAnsi="Times New Roman"/>
          <w:sz w:val="24"/>
          <w:szCs w:val="24"/>
          <w:lang w:val="it-IT"/>
        </w:rPr>
        <w:t>ë shoqëri</w:t>
      </w:r>
      <w:r w:rsidR="00DA38C4" w:rsidRPr="00EA1CA4">
        <w:rPr>
          <w:rFonts w:ascii="Times New Roman" w:hAnsi="Times New Roman"/>
          <w:sz w:val="24"/>
          <w:szCs w:val="24"/>
          <w:lang w:val="it-IT"/>
        </w:rPr>
        <w:t>s</w:t>
      </w:r>
      <w:r w:rsidRPr="00EA1CA4">
        <w:rPr>
          <w:rFonts w:ascii="Times New Roman" w:hAnsi="Times New Roman"/>
          <w:sz w:val="24"/>
          <w:szCs w:val="24"/>
          <w:lang w:val="it-IT"/>
        </w:rPr>
        <w:t>ë civile dhe grupe</w:t>
      </w:r>
      <w:r w:rsidR="00DA38C4" w:rsidRPr="00EA1CA4">
        <w:rPr>
          <w:rFonts w:ascii="Times New Roman" w:hAnsi="Times New Roman"/>
          <w:sz w:val="24"/>
          <w:szCs w:val="24"/>
          <w:lang w:val="it-IT"/>
        </w:rPr>
        <w:t xml:space="preserve">ve </w:t>
      </w:r>
      <w:r w:rsidRPr="00EA1CA4">
        <w:rPr>
          <w:rFonts w:ascii="Times New Roman" w:hAnsi="Times New Roman"/>
          <w:sz w:val="24"/>
          <w:szCs w:val="24"/>
          <w:lang w:val="it-IT"/>
        </w:rPr>
        <w:t>t</w:t>
      </w:r>
      <w:r w:rsidR="00DA38C4" w:rsidRPr="00EA1CA4">
        <w:rPr>
          <w:rFonts w:ascii="Times New Roman" w:hAnsi="Times New Roman"/>
          <w:sz w:val="24"/>
          <w:szCs w:val="24"/>
          <w:lang w:val="it-IT"/>
        </w:rPr>
        <w:t>ë</w:t>
      </w:r>
      <w:r w:rsidRPr="00EA1CA4">
        <w:rPr>
          <w:rFonts w:ascii="Times New Roman" w:hAnsi="Times New Roman"/>
          <w:sz w:val="24"/>
          <w:szCs w:val="24"/>
          <w:lang w:val="it-IT"/>
        </w:rPr>
        <w:t xml:space="preserve"> komuniteti</w:t>
      </w:r>
    </w:p>
    <w:p w:rsidR="006E79FC" w:rsidRPr="00EA1CA4" w:rsidRDefault="00DA38C4">
      <w:pPr>
        <w:pStyle w:val="ListParagraph"/>
        <w:numPr>
          <w:ilvl w:val="2"/>
          <w:numId w:val="39"/>
        </w:numPr>
        <w:spacing w:line="276" w:lineRule="auto"/>
        <w:jc w:val="both"/>
        <w:rPr>
          <w:rFonts w:ascii="Times New Roman" w:hAnsi="Times New Roman"/>
          <w:sz w:val="24"/>
          <w:szCs w:val="24"/>
          <w:lang w:val="it-IT"/>
        </w:rPr>
      </w:pPr>
      <w:r w:rsidRPr="00EA1CA4">
        <w:rPr>
          <w:rFonts w:ascii="Times New Roman" w:hAnsi="Times New Roman"/>
          <w:sz w:val="24"/>
          <w:szCs w:val="24"/>
          <w:lang w:val="sq-AL"/>
        </w:rPr>
        <w:t xml:space="preserve">Sigurimi i </w:t>
      </w:r>
      <w:r w:rsidR="00E90EA1" w:rsidRPr="00EA1CA4">
        <w:rPr>
          <w:rFonts w:ascii="Times New Roman" w:hAnsi="Times New Roman"/>
          <w:sz w:val="24"/>
          <w:szCs w:val="24"/>
          <w:lang w:val="sq-AL"/>
        </w:rPr>
        <w:t xml:space="preserve">mbështetjes institucionale për OSHC-të e angazhuara në </w:t>
      </w:r>
      <w:r w:rsidRPr="00EA1CA4">
        <w:rPr>
          <w:rFonts w:ascii="Times New Roman" w:hAnsi="Times New Roman"/>
          <w:sz w:val="24"/>
          <w:szCs w:val="24"/>
          <w:lang w:val="sq-AL"/>
        </w:rPr>
        <w:t>reagimin ndaj</w:t>
      </w:r>
      <w:r w:rsidR="00E90EA1" w:rsidRPr="00EA1CA4">
        <w:rPr>
          <w:rFonts w:ascii="Times New Roman" w:hAnsi="Times New Roman"/>
          <w:sz w:val="24"/>
          <w:szCs w:val="24"/>
          <w:lang w:val="sq-AL"/>
        </w:rPr>
        <w:t xml:space="preserve"> TB</w:t>
      </w:r>
      <w:r w:rsidRPr="00EA1CA4">
        <w:rPr>
          <w:rFonts w:ascii="Times New Roman" w:hAnsi="Times New Roman"/>
          <w:sz w:val="24"/>
          <w:szCs w:val="24"/>
          <w:lang w:val="sq-AL"/>
        </w:rPr>
        <w:t>-së</w:t>
      </w:r>
      <w:r w:rsidR="00E90EA1" w:rsidRPr="00EA1CA4">
        <w:rPr>
          <w:rFonts w:ascii="Times New Roman" w:hAnsi="Times New Roman"/>
          <w:sz w:val="24"/>
          <w:szCs w:val="24"/>
          <w:lang w:val="sq-AL"/>
        </w:rPr>
        <w:t xml:space="preserve"> në Kosovë </w:t>
      </w:r>
    </w:p>
    <w:p w:rsidR="006E79FC" w:rsidRPr="00EA1CA4" w:rsidRDefault="00E90EA1">
      <w:pPr>
        <w:pStyle w:val="ListParagraph"/>
        <w:numPr>
          <w:ilvl w:val="2"/>
          <w:numId w:val="39"/>
        </w:numPr>
        <w:spacing w:line="276" w:lineRule="auto"/>
        <w:jc w:val="both"/>
        <w:rPr>
          <w:rFonts w:ascii="Times New Roman" w:hAnsi="Times New Roman"/>
          <w:sz w:val="24"/>
          <w:szCs w:val="24"/>
          <w:lang w:val="it-IT"/>
        </w:rPr>
      </w:pPr>
      <w:r w:rsidRPr="00EA1CA4">
        <w:rPr>
          <w:rFonts w:ascii="Times New Roman" w:hAnsi="Times New Roman"/>
          <w:sz w:val="24"/>
          <w:szCs w:val="24"/>
          <w:lang w:val="sq-AL"/>
        </w:rPr>
        <w:t>Avokimi për mobilizimin e burimeve dhe kataliz</w:t>
      </w:r>
      <w:r w:rsidR="00DA38C4" w:rsidRPr="00EA1CA4">
        <w:rPr>
          <w:rFonts w:ascii="Times New Roman" w:hAnsi="Times New Roman"/>
          <w:sz w:val="24"/>
          <w:szCs w:val="24"/>
          <w:lang w:val="sq-AL"/>
        </w:rPr>
        <w:t xml:space="preserve">imi i </w:t>
      </w:r>
      <w:r w:rsidRPr="00EA1CA4">
        <w:rPr>
          <w:rFonts w:ascii="Times New Roman" w:hAnsi="Times New Roman"/>
          <w:sz w:val="24"/>
          <w:szCs w:val="24"/>
          <w:lang w:val="sq-AL"/>
        </w:rPr>
        <w:t>një shkëmbim</w:t>
      </w:r>
      <w:r w:rsidR="00DA38C4" w:rsidRPr="00EA1CA4">
        <w:rPr>
          <w:rFonts w:ascii="Times New Roman" w:hAnsi="Times New Roman"/>
          <w:sz w:val="24"/>
          <w:szCs w:val="24"/>
          <w:lang w:val="sq-AL"/>
        </w:rPr>
        <w:t>i</w:t>
      </w:r>
      <w:r w:rsidRPr="00EA1CA4">
        <w:rPr>
          <w:rFonts w:ascii="Times New Roman" w:hAnsi="Times New Roman"/>
          <w:sz w:val="24"/>
          <w:szCs w:val="24"/>
          <w:lang w:val="sq-AL"/>
        </w:rPr>
        <w:t xml:space="preserve"> të praktikave më të mira në lidhje me TB</w:t>
      </w:r>
      <w:r w:rsidR="00DA38C4" w:rsidRPr="00EA1CA4">
        <w:rPr>
          <w:rFonts w:ascii="Times New Roman" w:hAnsi="Times New Roman"/>
          <w:sz w:val="24"/>
          <w:szCs w:val="24"/>
          <w:lang w:val="sq-AL"/>
        </w:rPr>
        <w:t>-në</w:t>
      </w:r>
      <w:r w:rsidRPr="00EA1CA4">
        <w:rPr>
          <w:rFonts w:ascii="Times New Roman" w:hAnsi="Times New Roman"/>
          <w:sz w:val="24"/>
          <w:szCs w:val="24"/>
          <w:lang w:val="sq-AL"/>
        </w:rPr>
        <w:t xml:space="preserve">  </w:t>
      </w:r>
    </w:p>
    <w:p w:rsidR="006E79FC" w:rsidRPr="00EA1CA4" w:rsidRDefault="00E90EA1">
      <w:pPr>
        <w:pStyle w:val="ListParagraph"/>
        <w:numPr>
          <w:ilvl w:val="2"/>
          <w:numId w:val="39"/>
        </w:numPr>
        <w:spacing w:line="276" w:lineRule="auto"/>
        <w:jc w:val="both"/>
        <w:rPr>
          <w:rFonts w:ascii="Times New Roman" w:hAnsi="Times New Roman"/>
          <w:sz w:val="24"/>
          <w:szCs w:val="24"/>
          <w:lang w:val="it-IT"/>
        </w:rPr>
      </w:pPr>
      <w:r w:rsidRPr="00EA1CA4">
        <w:rPr>
          <w:rFonts w:ascii="Times New Roman" w:hAnsi="Times New Roman"/>
          <w:sz w:val="24"/>
          <w:szCs w:val="24"/>
          <w:lang w:val="sq-AL"/>
        </w:rPr>
        <w:t>Zhvillimi i strategjive të A</w:t>
      </w:r>
      <w:r w:rsidR="00DA38C4" w:rsidRPr="00EA1CA4">
        <w:rPr>
          <w:rFonts w:ascii="Times New Roman" w:hAnsi="Times New Roman"/>
          <w:sz w:val="24"/>
          <w:szCs w:val="24"/>
          <w:lang w:val="sq-AL"/>
        </w:rPr>
        <w:t>KMS</w:t>
      </w:r>
      <w:r w:rsidRPr="00EA1CA4">
        <w:rPr>
          <w:rFonts w:ascii="Times New Roman" w:hAnsi="Times New Roman"/>
          <w:sz w:val="24"/>
          <w:szCs w:val="24"/>
          <w:lang w:val="sq-AL"/>
        </w:rPr>
        <w:t xml:space="preserve"> dhe investimi në aktivitetet e </w:t>
      </w:r>
      <w:r w:rsidR="00DA38C4" w:rsidRPr="00EA1CA4">
        <w:rPr>
          <w:rFonts w:ascii="Times New Roman" w:hAnsi="Times New Roman"/>
          <w:sz w:val="24"/>
          <w:szCs w:val="24"/>
          <w:lang w:val="sq-AL"/>
        </w:rPr>
        <w:t>AKMS,</w:t>
      </w:r>
      <w:r w:rsidRPr="00EA1CA4">
        <w:rPr>
          <w:rFonts w:ascii="Times New Roman" w:hAnsi="Times New Roman"/>
          <w:sz w:val="24"/>
          <w:szCs w:val="24"/>
          <w:lang w:val="sq-AL"/>
        </w:rPr>
        <w:t xml:space="preserve"> me fokus në popullatat e cenueshme, duke përfshirë komunitetet RAE</w:t>
      </w:r>
    </w:p>
    <w:p w:rsidR="00E90EA1" w:rsidRPr="00EA1CA4" w:rsidRDefault="00E90EA1">
      <w:pPr>
        <w:pStyle w:val="ListParagraph"/>
        <w:numPr>
          <w:ilvl w:val="2"/>
          <w:numId w:val="39"/>
        </w:numPr>
        <w:spacing w:line="276" w:lineRule="auto"/>
        <w:jc w:val="both"/>
        <w:rPr>
          <w:rFonts w:ascii="Times New Roman" w:hAnsi="Times New Roman"/>
          <w:sz w:val="24"/>
          <w:szCs w:val="24"/>
          <w:lang w:val="it-IT"/>
        </w:rPr>
      </w:pPr>
      <w:r w:rsidRPr="00EA1CA4">
        <w:rPr>
          <w:rFonts w:ascii="Times New Roman" w:hAnsi="Times New Roman"/>
          <w:sz w:val="24"/>
          <w:szCs w:val="24"/>
          <w:lang w:val="sq-AL"/>
        </w:rPr>
        <w:t xml:space="preserve">Organizimi i fushatave </w:t>
      </w:r>
      <w:r w:rsidR="00DA38C4" w:rsidRPr="00EA1CA4">
        <w:rPr>
          <w:rFonts w:ascii="Times New Roman" w:hAnsi="Times New Roman"/>
          <w:sz w:val="24"/>
          <w:szCs w:val="24"/>
          <w:lang w:val="sq-AL"/>
        </w:rPr>
        <w:t xml:space="preserve">të ndërgjegjësimit </w:t>
      </w:r>
      <w:r w:rsidRPr="00EA1CA4">
        <w:rPr>
          <w:rFonts w:ascii="Times New Roman" w:hAnsi="Times New Roman"/>
          <w:sz w:val="24"/>
          <w:szCs w:val="24"/>
          <w:lang w:val="sq-AL"/>
        </w:rPr>
        <w:t>publike (Dita Botërore e TB</w:t>
      </w:r>
      <w:r w:rsidR="00DA38C4" w:rsidRPr="00EA1CA4">
        <w:rPr>
          <w:rFonts w:ascii="Times New Roman" w:hAnsi="Times New Roman"/>
          <w:sz w:val="24"/>
          <w:szCs w:val="24"/>
          <w:lang w:val="sq-AL"/>
        </w:rPr>
        <w:t>-së</w:t>
      </w:r>
      <w:r w:rsidRPr="00EA1CA4">
        <w:rPr>
          <w:rFonts w:ascii="Times New Roman" w:hAnsi="Times New Roman"/>
          <w:sz w:val="24"/>
          <w:szCs w:val="24"/>
          <w:lang w:val="sq-AL"/>
        </w:rPr>
        <w:t xml:space="preserve">) për të rritur </w:t>
      </w:r>
      <w:r w:rsidR="00DA38C4" w:rsidRPr="00EA1CA4">
        <w:rPr>
          <w:rFonts w:ascii="Times New Roman" w:hAnsi="Times New Roman"/>
          <w:sz w:val="24"/>
          <w:szCs w:val="24"/>
          <w:lang w:val="sq-AL"/>
        </w:rPr>
        <w:t xml:space="preserve">vetëdijesimin </w:t>
      </w:r>
      <w:r w:rsidRPr="00EA1CA4">
        <w:rPr>
          <w:rFonts w:ascii="Times New Roman" w:hAnsi="Times New Roman"/>
          <w:sz w:val="24"/>
          <w:szCs w:val="24"/>
          <w:lang w:val="sq-AL"/>
        </w:rPr>
        <w:t xml:space="preserve">për TB dhe për të </w:t>
      </w:r>
      <w:r w:rsidR="00DA38C4" w:rsidRPr="00EA1CA4">
        <w:rPr>
          <w:rFonts w:ascii="Times New Roman" w:hAnsi="Times New Roman"/>
          <w:sz w:val="24"/>
          <w:szCs w:val="24"/>
          <w:lang w:val="sq-AL"/>
        </w:rPr>
        <w:t xml:space="preserve">zvogëluar </w:t>
      </w:r>
      <w:r w:rsidRPr="00EA1CA4">
        <w:rPr>
          <w:rFonts w:ascii="Times New Roman" w:hAnsi="Times New Roman"/>
          <w:sz w:val="24"/>
          <w:szCs w:val="24"/>
          <w:lang w:val="sq-AL"/>
        </w:rPr>
        <w:t>stigmën.</w:t>
      </w:r>
    </w:p>
    <w:p w:rsidR="00E90EA1" w:rsidRPr="00EA1CA4" w:rsidRDefault="00E90EA1" w:rsidP="00624E04">
      <w:pPr>
        <w:spacing w:line="276" w:lineRule="auto"/>
        <w:jc w:val="both"/>
        <w:rPr>
          <w:b/>
        </w:rPr>
      </w:pPr>
      <w:r w:rsidRPr="00EA1CA4">
        <w:rPr>
          <w:b/>
        </w:rPr>
        <w:t xml:space="preserve">Rezultati 4.2 Angazhimi i shoqërisë civile në kujdesin ndaj </w:t>
      </w:r>
      <w:r w:rsidR="00DA38C4" w:rsidRPr="00EA1CA4">
        <w:rPr>
          <w:b/>
        </w:rPr>
        <w:t>TB</w:t>
      </w:r>
      <w:r w:rsidRPr="00EA1CA4">
        <w:rPr>
          <w:b/>
        </w:rPr>
        <w:t xml:space="preserve"> dhe reagimi ndaj përcaktuesve socialë të tuberkulozit</w:t>
      </w:r>
    </w:p>
    <w:p w:rsidR="00E90EA1" w:rsidRPr="00EA1CA4" w:rsidRDefault="00E90EA1" w:rsidP="00624E04">
      <w:pPr>
        <w:pStyle w:val="Normal1"/>
        <w:spacing w:line="276" w:lineRule="auto"/>
        <w:jc w:val="both"/>
        <w:rPr>
          <w:lang w:val="sq-AL"/>
        </w:rPr>
      </w:pPr>
      <w:r w:rsidRPr="00EA1CA4">
        <w:rPr>
          <w:b/>
          <w:lang w:val="sq-AL"/>
        </w:rPr>
        <w:lastRenderedPageBreak/>
        <w:t>Rritja e respektimit të trajtimit përmes angazhimit të OSHC-ve:</w:t>
      </w:r>
      <w:r w:rsidR="0083722A" w:rsidRPr="00EA1CA4">
        <w:rPr>
          <w:b/>
          <w:lang w:val="sq-AL"/>
        </w:rPr>
        <w:t xml:space="preserve"> </w:t>
      </w:r>
      <w:r w:rsidR="00554E6D" w:rsidRPr="00EA1CA4">
        <w:rPr>
          <w:lang w:val="sq-AL"/>
        </w:rPr>
        <w:t>Shoqëria civile dhe komunitetet e TB kanë një avantazh krahasues për të arritur tek komunitetet e cenueshme dhe personat e prekur nga TB dhe familjet e tyre. Prandaj, do të fuqizohet roli i OSHC-ve në gjetjen e rasteve dhe shërbimet e mbështetjes sociale</w:t>
      </w:r>
      <w:r w:rsidRPr="00EA1CA4">
        <w:rPr>
          <w:lang w:val="sq-AL"/>
        </w:rPr>
        <w:t xml:space="preserve">. </w:t>
      </w:r>
      <w:r w:rsidR="00554E6D" w:rsidRPr="00EA1CA4">
        <w:rPr>
          <w:lang w:val="sq-AL"/>
        </w:rPr>
        <w:t xml:space="preserve">Ndihma e pacientëve për të arritur respektimin e plotë të mjekimit për TB është një problem kompleks i ndikuar nga ndërveprimi midis shumë faktorëve që përfshijnë: faktorët e stilit të jetesës, faktorin e terapisë, stigmën dhe diskriminimin brenda sistemit të kujdesit shëndetësor, </w:t>
      </w:r>
      <w:r w:rsidR="00A42795" w:rsidRPr="00EA1CA4">
        <w:rPr>
          <w:lang w:val="sq-AL"/>
        </w:rPr>
        <w:t>qasjen</w:t>
      </w:r>
      <w:r w:rsidR="00554E6D" w:rsidRPr="00EA1CA4">
        <w:rPr>
          <w:lang w:val="sq-AL"/>
        </w:rPr>
        <w:t xml:space="preserve"> gjeografik</w:t>
      </w:r>
      <w:r w:rsidR="00A42795" w:rsidRPr="00EA1CA4">
        <w:rPr>
          <w:lang w:val="sq-AL"/>
        </w:rPr>
        <w:t>e</w:t>
      </w:r>
      <w:r w:rsidR="00554E6D" w:rsidRPr="00EA1CA4">
        <w:rPr>
          <w:lang w:val="sq-AL"/>
        </w:rPr>
        <w:t>; si dhe faktorë të tjerë të jashtëm: faktorët social dhe ekonomik; ligjet dhe politikat</w:t>
      </w:r>
      <w:r w:rsidRPr="00EA1CA4">
        <w:rPr>
          <w:lang w:val="sq-AL"/>
        </w:rPr>
        <w:t xml:space="preserve">. </w:t>
      </w:r>
      <w:r w:rsidR="00F831B3" w:rsidRPr="00EA1CA4">
        <w:rPr>
          <w:lang w:val="sq-AL"/>
        </w:rPr>
        <w:t xml:space="preserve">Kujdesi i OSHC-ve dhe komunitetit do të jetë kritik për të minimizuar dështimet dhe rikthimet e trajtimit për të gjithë pacientët me TB, duke përfshirë pacientët </w:t>
      </w:r>
      <w:r w:rsidR="002070A5" w:rsidRPr="00EA1CA4">
        <w:rPr>
          <w:lang w:val="sq-AL"/>
        </w:rPr>
        <w:t>I</w:t>
      </w:r>
      <w:r w:rsidR="00F831B3" w:rsidRPr="00EA1CA4">
        <w:rPr>
          <w:lang w:val="sq-AL"/>
        </w:rPr>
        <w:t xml:space="preserve">LTB. Përmirësimi i respektimit të trajtimit në mesin e pacientëve me TB do të arrihet përmes përpjekjeve të vazhdueshme për të përmirësuar edukimin e pacientëve dhe familjeve të tyre. Teknologjitë e telefonisë </w:t>
      </w:r>
      <w:r w:rsidR="0083722A" w:rsidRPr="00EA1CA4">
        <w:rPr>
          <w:lang w:val="sq-AL"/>
        </w:rPr>
        <w:t>mobile</w:t>
      </w:r>
      <w:r w:rsidR="00F831B3" w:rsidRPr="00EA1CA4">
        <w:rPr>
          <w:lang w:val="sq-AL"/>
        </w:rPr>
        <w:t xml:space="preserve"> do të përdoren gjithashtu për përmirësimin e respektimit të trajtimit përmes konsultimeve, përkujtuesve për marrjen e barnave dhe orareve për vizitat e qendrave për shërbimet, verifikimit të marrjes së barnave, etj</w:t>
      </w:r>
      <w:r w:rsidRPr="00EA1CA4">
        <w:rPr>
          <w:lang w:val="sq-AL"/>
        </w:rPr>
        <w:t xml:space="preserve">. </w:t>
      </w:r>
    </w:p>
    <w:p w:rsidR="00E90EA1" w:rsidRPr="00EA1CA4" w:rsidRDefault="00071DB2" w:rsidP="00624E04">
      <w:pPr>
        <w:pStyle w:val="Normal1"/>
        <w:spacing w:line="276" w:lineRule="auto"/>
        <w:jc w:val="both"/>
        <w:rPr>
          <w:lang w:val="sq-AL"/>
        </w:rPr>
      </w:pPr>
      <w:r w:rsidRPr="00EA1CA4">
        <w:rPr>
          <w:lang w:val="sq-AL"/>
        </w:rPr>
        <w:t xml:space="preserve">Sipas </w:t>
      </w:r>
      <w:r w:rsidR="0083722A" w:rsidRPr="00EA1CA4">
        <w:rPr>
          <w:lang w:val="sq-AL"/>
        </w:rPr>
        <w:t>PKT</w:t>
      </w:r>
      <w:r w:rsidRPr="00EA1CA4">
        <w:rPr>
          <w:lang w:val="sq-AL"/>
        </w:rPr>
        <w:t xml:space="preserve">, hospitalizimi për të gjithë pacientët me TB është i detyrueshëm gjatë fazës fillestare të trajtimit gjatë së cilës ofrohet DOT. Më pas, pacientët kalojnë në ambiente ambulatore në </w:t>
      </w:r>
      <w:r w:rsidR="0083722A" w:rsidRPr="00EA1CA4">
        <w:rPr>
          <w:lang w:val="sq-AL"/>
        </w:rPr>
        <w:t xml:space="preserve">dispanseritë </w:t>
      </w:r>
      <w:r w:rsidRPr="00EA1CA4">
        <w:rPr>
          <w:lang w:val="sq-AL"/>
        </w:rPr>
        <w:t>kundër tuberkulozit (ATD). Gjatë kësaj faze trajtimi administrohet vetë nga pacientët, gjë që kërkon monitorim të afërt dhe shërbime mbështetëse nga komuniteti</w:t>
      </w:r>
      <w:r w:rsidR="00E90EA1" w:rsidRPr="00EA1CA4">
        <w:rPr>
          <w:lang w:val="sq-AL"/>
        </w:rPr>
        <w:t xml:space="preserve">. </w:t>
      </w:r>
      <w:r w:rsidR="00204E08" w:rsidRPr="00EA1CA4">
        <w:rPr>
          <w:lang w:val="sq-AL"/>
        </w:rPr>
        <w:t>Modeli i kujdesit në komunitetin e TB, i cili është pilotuar me sukses në komunat e përzgjedhura me barrë të lartë nën grantin e GF TB, do të duhet të rritet. Shërbimet e komunitetit për TB përfshijnë mbështetës të trajtimit në komunitet (anëtarë të familjes, punonjës shëndetësorë në komunitet, mjekë familjar, infermierë, infermierë patronazhi, punonjës socialë dhe staf të OJQ-ve) të cilët do të trajnohen nga KeA mbi parimet thelbësore të kujdesit në komunitetin e TB</w:t>
      </w:r>
      <w:r w:rsidR="00E90EA1" w:rsidRPr="00EA1CA4">
        <w:rPr>
          <w:lang w:val="sq-AL"/>
        </w:rPr>
        <w:t xml:space="preserve">. </w:t>
      </w:r>
      <w:r w:rsidR="00204E08" w:rsidRPr="00EA1CA4">
        <w:rPr>
          <w:lang w:val="sq-AL"/>
        </w:rPr>
        <w:t xml:space="preserve">Zbatimi i regjimit të ri të trajtimit për disa pacientë MDR-TB do të kërkojë qëndrime më të shkurtra në spital dhe mbështetje intensive nga komuniteti. Prandaj, do të zhvillohet modeli i ofrimit të kujdesit në komunitet për pacientët MDR dhe do të mbahet një seminar për të trajnuar </w:t>
      </w:r>
      <w:r w:rsidR="00204E08" w:rsidRPr="00EA1CA4">
        <w:rPr>
          <w:lang w:val="sq-AL"/>
        </w:rPr>
        <w:lastRenderedPageBreak/>
        <w:t xml:space="preserve">mbështetësit e trajtimit të komunitetit mbi ofrimin e shërbimeve komunitare për pacientët MDR-TB. Pacientët me TB dhe mbështetësit e trajtimit do të marrin stimuj nga </w:t>
      </w:r>
      <w:r w:rsidR="0083722A" w:rsidRPr="00EA1CA4">
        <w:rPr>
          <w:lang w:val="sq-AL"/>
        </w:rPr>
        <w:t>F</w:t>
      </w:r>
      <w:r w:rsidR="00204E08" w:rsidRPr="00EA1CA4">
        <w:rPr>
          <w:lang w:val="sq-AL"/>
        </w:rPr>
        <w:t>G për të përmirësuar mbajtjen në kujdes dhe për të parandaluar shkallën e braktisjes</w:t>
      </w:r>
      <w:r w:rsidR="00D75ED6">
        <w:fldChar w:fldCharType="begin"/>
      </w:r>
      <w:r w:rsidR="00D75ED6">
        <w:instrText xml:space="preserve"> NOTEREF _Ref82899662 \f</w:instrText>
      </w:r>
      <w:r w:rsidR="00D75ED6">
        <w:instrText xml:space="preserve"> \h  \* MERGEFORMAT </w:instrText>
      </w:r>
      <w:r w:rsidR="00D75ED6">
        <w:fldChar w:fldCharType="separate"/>
      </w:r>
      <w:r w:rsidR="00DD5916" w:rsidRPr="00EA1CA4">
        <w:rPr>
          <w:rStyle w:val="FootnoteReference"/>
          <w:lang w:val="sq-AL"/>
        </w:rPr>
        <w:t>76</w:t>
      </w:r>
      <w:r w:rsidR="00D75ED6">
        <w:fldChar w:fldCharType="end"/>
      </w:r>
      <w:r w:rsidR="00E90EA1" w:rsidRPr="00EA1CA4">
        <w:rPr>
          <w:lang w:val="sq-AL"/>
        </w:rPr>
        <w:t xml:space="preserve">. </w:t>
      </w:r>
    </w:p>
    <w:p w:rsidR="00E90EA1" w:rsidRPr="00EA1CA4" w:rsidRDefault="00204E08" w:rsidP="00624E04">
      <w:pPr>
        <w:spacing w:line="276" w:lineRule="auto"/>
        <w:jc w:val="both"/>
        <w:rPr>
          <w:lang w:eastAsia="en-US"/>
        </w:rPr>
      </w:pPr>
      <w:r w:rsidRPr="00EA1CA4">
        <w:rPr>
          <w:b/>
          <w:i/>
          <w:lang w:eastAsia="en-US"/>
        </w:rPr>
        <w:t>Mbrojtja sociale, zbutja e varfërisë dhe veprimet mbi përcaktuesit e tjerë socialë të tuberkulozit</w:t>
      </w:r>
      <w:r w:rsidR="00E90EA1" w:rsidRPr="00EA1CA4">
        <w:rPr>
          <w:b/>
          <w:i/>
          <w:lang w:eastAsia="en-US"/>
        </w:rPr>
        <w:t>:</w:t>
      </w:r>
      <w:r w:rsidR="00E90EA1" w:rsidRPr="00EA1CA4">
        <w:rPr>
          <w:lang w:eastAsia="en-US"/>
        </w:rPr>
        <w:t xml:space="preserve"> </w:t>
      </w:r>
      <w:r w:rsidRPr="00EA1CA4">
        <w:rPr>
          <w:lang w:eastAsia="en-US"/>
        </w:rPr>
        <w:t>Përcaktuesit socialë të shëndetit</w:t>
      </w:r>
      <w:r w:rsidR="00E90EA1" w:rsidRPr="00EA1CA4">
        <w:rPr>
          <w:rStyle w:val="FootnoteReference"/>
          <w:lang w:eastAsia="en-US"/>
        </w:rPr>
        <w:footnoteReference w:id="72"/>
      </w:r>
      <w:r w:rsidR="00E90EA1" w:rsidRPr="00EA1CA4">
        <w:rPr>
          <w:lang w:eastAsia="en-US"/>
        </w:rPr>
        <w:t xml:space="preserve"> </w:t>
      </w:r>
      <w:r w:rsidRPr="00EA1CA4">
        <w:rPr>
          <w:lang w:eastAsia="en-US"/>
        </w:rPr>
        <w:t>përkufizohen si kushte në të cilat njerëzit lindin, jetojnë, punojnë dhe plaken, si dhe grupi më i gjerë i sistemeve që formësojnë mjedisin e jetës së përditshme. Këto sisteme përfshijnë politikat ekonomike, normat sociale, politikat sociale, sistemet politike, etj</w:t>
      </w:r>
      <w:r w:rsidR="00E90EA1" w:rsidRPr="00EA1CA4">
        <w:rPr>
          <w:lang w:eastAsia="en-US"/>
        </w:rPr>
        <w:t xml:space="preserve">. </w:t>
      </w:r>
      <w:r w:rsidR="00EC0954" w:rsidRPr="00EA1CA4">
        <w:rPr>
          <w:lang w:eastAsia="en-US"/>
        </w:rPr>
        <w:t>Në vitin 2018, OKB mbajti takimin e saj të parë të nivelit të lartë mbi TB, i cili rezultoi në një deklaratë politike të dakorduar nga të gjitha shtetet anëtare të OKB-së, në të cilën u riafirmuan zotimet ekzistuese ndaj OZHQ dhe Strategjisë për TB të finalizuar të OBSH</w:t>
      </w:r>
      <w:r w:rsidR="00E90EA1" w:rsidRPr="00EA1CA4">
        <w:rPr>
          <w:rStyle w:val="FootnoteReference"/>
          <w:lang w:eastAsia="en-US"/>
        </w:rPr>
        <w:footnoteReference w:id="73"/>
      </w:r>
      <w:r w:rsidR="00E90EA1" w:rsidRPr="00EA1CA4">
        <w:rPr>
          <w:lang w:eastAsia="en-US"/>
        </w:rPr>
        <w:t xml:space="preserve">. </w:t>
      </w:r>
      <w:r w:rsidR="00EC0954" w:rsidRPr="00EA1CA4">
        <w:rPr>
          <w:lang w:eastAsia="en-US"/>
        </w:rPr>
        <w:t>Një moment historik i vitit 2020 i Strategjisë për TB të finalizuar përcakton që asnjë pacient me TB dhe familjet e tyre nuk duhet të përballen me kosto katastrofike si rezultat i sëmundjes së TB-së</w:t>
      </w:r>
      <w:r w:rsidR="00E90EA1" w:rsidRPr="00EA1CA4">
        <w:rPr>
          <w:lang w:eastAsia="en-US"/>
        </w:rPr>
        <w:t xml:space="preserve">. </w:t>
      </w:r>
    </w:p>
    <w:p w:rsidR="00E90EA1" w:rsidRPr="00EA1CA4" w:rsidRDefault="00EC0954" w:rsidP="00624E04">
      <w:pPr>
        <w:spacing w:line="276" w:lineRule="auto"/>
        <w:jc w:val="both"/>
      </w:pPr>
      <w:r w:rsidRPr="00EA1CA4">
        <w:rPr>
          <w:lang w:eastAsia="en-US"/>
        </w:rPr>
        <w:t xml:space="preserve">Edhe pse shërbimet e trajtimit të </w:t>
      </w:r>
      <w:r w:rsidR="0083722A" w:rsidRPr="00EA1CA4">
        <w:rPr>
          <w:lang w:eastAsia="en-US"/>
        </w:rPr>
        <w:t>TB-së</w:t>
      </w:r>
      <w:r w:rsidRPr="00EA1CA4">
        <w:rPr>
          <w:lang w:eastAsia="en-US"/>
        </w:rPr>
        <w:t xml:space="preserve"> janë falas për pacientët, familjet e prekura nga </w:t>
      </w:r>
      <w:r w:rsidR="0083722A" w:rsidRPr="00EA1CA4">
        <w:rPr>
          <w:lang w:eastAsia="en-US"/>
        </w:rPr>
        <w:t>TB</w:t>
      </w:r>
      <w:r w:rsidRPr="00EA1CA4">
        <w:rPr>
          <w:lang w:eastAsia="en-US"/>
        </w:rPr>
        <w:t xml:space="preserve"> mund të jenë financiarisht të cenueshme për shkak të faktorëve të tjerë: kosto të tjera të lidhura me TB-në (jo specifike për trajtimin); shpenzimet e transportit; kosto për shërbime shtesë diagnostikuese që nuk ofrohen në ambulancat e TB, mundësi të kufizuara punësimi; humbja e vendeve të punës; rritja e nevojave ushqimore etj</w:t>
      </w:r>
      <w:r w:rsidR="00E90EA1" w:rsidRPr="00EA1CA4">
        <w:rPr>
          <w:lang w:eastAsia="en-US"/>
        </w:rPr>
        <w:t xml:space="preserve">.). </w:t>
      </w:r>
      <w:bookmarkStart w:id="57" w:name="_Ref82899662"/>
      <w:r w:rsidR="00856DD8" w:rsidRPr="00EA1CA4">
        <w:rPr>
          <w:lang w:eastAsia="en-US"/>
        </w:rPr>
        <w:t xml:space="preserve">Prandaj, pacientët me TB kanë nevojë për mbështetje psiko-sociale, materiale dhe/ose ligjore për të siguruar regjistrim të mirë dhe respektim të trajtimit. Disa veprime do të mbështeten nga granti i </w:t>
      </w:r>
      <w:r w:rsidR="0083722A" w:rsidRPr="00EA1CA4">
        <w:rPr>
          <w:lang w:eastAsia="en-US"/>
        </w:rPr>
        <w:t>FG</w:t>
      </w:r>
      <w:r w:rsidR="00856DD8" w:rsidRPr="00EA1CA4">
        <w:rPr>
          <w:lang w:eastAsia="en-US"/>
        </w:rPr>
        <w:t xml:space="preserve">TB në </w:t>
      </w:r>
      <w:r w:rsidR="0083722A" w:rsidRPr="00EA1CA4">
        <w:rPr>
          <w:lang w:eastAsia="en-US"/>
        </w:rPr>
        <w:t xml:space="preserve">vitet </w:t>
      </w:r>
      <w:r w:rsidR="00856DD8" w:rsidRPr="00EA1CA4">
        <w:rPr>
          <w:lang w:eastAsia="en-US"/>
        </w:rPr>
        <w:t xml:space="preserve">2022-2024. Përkatësisht, pacientët me TB do të vazhdojnë të marrin pako për higjienën dhe ushqimin; Pako të mbështetjes sociale do t'u shpërndahen gjithashtu pacientëve me </w:t>
      </w:r>
      <w:r w:rsidR="0083722A" w:rsidRPr="00EA1CA4">
        <w:rPr>
          <w:lang w:eastAsia="en-US"/>
        </w:rPr>
        <w:t>M</w:t>
      </w:r>
      <w:r w:rsidR="00856DD8" w:rsidRPr="00EA1CA4">
        <w:rPr>
          <w:lang w:eastAsia="en-US"/>
        </w:rPr>
        <w:t>DR</w:t>
      </w:r>
      <w:r w:rsidR="0083722A" w:rsidRPr="00EA1CA4">
        <w:rPr>
          <w:lang w:eastAsia="en-US"/>
        </w:rPr>
        <w:t>-TB</w:t>
      </w:r>
      <w:r w:rsidR="00856DD8" w:rsidRPr="00EA1CA4">
        <w:rPr>
          <w:lang w:eastAsia="en-US"/>
        </w:rPr>
        <w:t xml:space="preserve"> për të përmirësuar respektimin e trajtimit</w:t>
      </w:r>
      <w:r w:rsidR="00E90EA1" w:rsidRPr="00EA1CA4">
        <w:rPr>
          <w:rStyle w:val="FootnoteReference"/>
          <w:lang w:eastAsia="en-US"/>
        </w:rPr>
        <w:footnoteReference w:id="74"/>
      </w:r>
      <w:bookmarkEnd w:id="57"/>
      <w:r w:rsidR="00E90EA1" w:rsidRPr="00EA1CA4">
        <w:rPr>
          <w:lang w:eastAsia="en-US"/>
        </w:rPr>
        <w:t xml:space="preserve">. </w:t>
      </w:r>
      <w:r w:rsidR="00856DD8" w:rsidRPr="00EA1CA4">
        <w:rPr>
          <w:lang w:eastAsia="en-US"/>
        </w:rPr>
        <w:t xml:space="preserve">Do të zhvillohen mekanizma specifikë për TB-në për mbrojtjen sociale dhe do të mobilizohen burimet përkatëse. Do të organizohen dialogë në vend për të </w:t>
      </w:r>
      <w:r w:rsidR="00856DD8" w:rsidRPr="00EA1CA4">
        <w:rPr>
          <w:lang w:eastAsia="en-US"/>
        </w:rPr>
        <w:lastRenderedPageBreak/>
        <w:t>planifikuar procesin e tranzicionit dhe për të siguruar që duke filluar nga viti 2024-2025, shërbimet mbështetëse të TB-së të financohen nga qeveria e zbatuar nga MSH ose Ministria e Punës dhe Mirëqenies Sociale (MPMS)</w:t>
      </w:r>
      <w:r w:rsidR="00D75ED6">
        <w:fldChar w:fldCharType="begin"/>
      </w:r>
      <w:r w:rsidR="00D75ED6">
        <w:instrText xml:space="preserve"> NOTEREF _Ref82899662 \f \h  \* MERGEFORMAT </w:instrText>
      </w:r>
      <w:r w:rsidR="00D75ED6">
        <w:fldChar w:fldCharType="separate"/>
      </w:r>
      <w:r w:rsidR="00DD5916" w:rsidRPr="00EA1CA4">
        <w:rPr>
          <w:rStyle w:val="FootnoteReference"/>
        </w:rPr>
        <w:t>76</w:t>
      </w:r>
      <w:r w:rsidR="00D75ED6">
        <w:fldChar w:fldCharType="end"/>
      </w:r>
      <w:r w:rsidR="00E90EA1" w:rsidRPr="00EA1CA4">
        <w:rPr>
          <w:lang w:eastAsia="en-US"/>
        </w:rPr>
        <w:t xml:space="preserve">. </w:t>
      </w:r>
      <w:r w:rsidR="00856DD8" w:rsidRPr="00EA1CA4">
        <w:rPr>
          <w:lang w:eastAsia="en-US"/>
        </w:rPr>
        <w:t xml:space="preserve">Përveç kësaj, do të miratohen standardet e shërbimit dhe procedurat operative për organizatat e shoqërisë civile për të ofruar shërbime </w:t>
      </w:r>
      <w:r w:rsidR="00FE20E9" w:rsidRPr="00EA1CA4">
        <w:rPr>
          <w:lang w:eastAsia="en-US"/>
        </w:rPr>
        <w:t>zotimi</w:t>
      </w:r>
      <w:r w:rsidR="00856DD8" w:rsidRPr="00EA1CA4">
        <w:rPr>
          <w:lang w:eastAsia="en-US"/>
        </w:rPr>
        <w:t xml:space="preserve"> dhe mbështetje psiko-sociale</w:t>
      </w:r>
      <w:r w:rsidR="00E90EA1" w:rsidRPr="00EA1CA4">
        <w:t xml:space="preserve">. </w:t>
      </w:r>
    </w:p>
    <w:p w:rsidR="0083722A" w:rsidRPr="00EA1CA4" w:rsidRDefault="0083722A" w:rsidP="00624E04">
      <w:pPr>
        <w:spacing w:line="276" w:lineRule="auto"/>
        <w:jc w:val="both"/>
        <w:rPr>
          <w:b/>
          <w:i/>
        </w:rPr>
      </w:pPr>
    </w:p>
    <w:p w:rsidR="008222CF" w:rsidRPr="00EA1CA4" w:rsidRDefault="00FE20E9" w:rsidP="008222CF">
      <w:pPr>
        <w:spacing w:line="276" w:lineRule="auto"/>
        <w:jc w:val="both"/>
        <w:rPr>
          <w:b/>
          <w:i/>
        </w:rPr>
      </w:pPr>
      <w:r w:rsidRPr="00EA1CA4">
        <w:rPr>
          <w:b/>
          <w:i/>
        </w:rPr>
        <w:t>Aktivitetet e planifikuara</w:t>
      </w:r>
      <w:r w:rsidR="00E90EA1" w:rsidRPr="00EA1CA4">
        <w:rPr>
          <w:b/>
          <w:i/>
        </w:rPr>
        <w:t>:</w:t>
      </w:r>
    </w:p>
    <w:p w:rsidR="008222CF" w:rsidRPr="00EA1CA4" w:rsidRDefault="008222CF" w:rsidP="008222CF">
      <w:pPr>
        <w:spacing w:line="276" w:lineRule="auto"/>
        <w:jc w:val="both"/>
        <w:rPr>
          <w:b/>
          <w:i/>
        </w:rPr>
      </w:pPr>
    </w:p>
    <w:p w:rsidR="008222CF" w:rsidRPr="00EA1CA4" w:rsidRDefault="00492D2A">
      <w:pPr>
        <w:pStyle w:val="ListParagraph"/>
        <w:numPr>
          <w:ilvl w:val="2"/>
          <w:numId w:val="40"/>
        </w:numPr>
        <w:spacing w:line="276" w:lineRule="auto"/>
        <w:jc w:val="both"/>
        <w:rPr>
          <w:rFonts w:ascii="Times New Roman" w:hAnsi="Times New Roman"/>
          <w:b/>
          <w:i/>
          <w:sz w:val="24"/>
          <w:szCs w:val="24"/>
          <w:lang w:val="sq-AL"/>
        </w:rPr>
      </w:pPr>
      <w:r w:rsidRPr="00EA1CA4">
        <w:rPr>
          <w:rFonts w:ascii="Times New Roman" w:hAnsi="Times New Roman"/>
          <w:color w:val="000000"/>
          <w:sz w:val="24"/>
          <w:szCs w:val="24"/>
          <w:lang w:val="sq-AL"/>
        </w:rPr>
        <w:t>Zhvillimi dhe miratimi i mekanizmit për masat e mbrojtjes specifike sociale kundër TB-së dhe mobilizimi i burimeve përkatëse</w:t>
      </w:r>
    </w:p>
    <w:p w:rsidR="008222CF" w:rsidRPr="00EA1CA4" w:rsidRDefault="00492D2A">
      <w:pPr>
        <w:pStyle w:val="ListParagraph"/>
        <w:numPr>
          <w:ilvl w:val="2"/>
          <w:numId w:val="40"/>
        </w:numPr>
        <w:spacing w:line="276" w:lineRule="auto"/>
        <w:jc w:val="both"/>
        <w:rPr>
          <w:rFonts w:ascii="Times New Roman" w:hAnsi="Times New Roman"/>
          <w:b/>
          <w:i/>
          <w:sz w:val="24"/>
          <w:szCs w:val="24"/>
          <w:lang w:val="sq-AL"/>
        </w:rPr>
      </w:pPr>
      <w:r w:rsidRPr="00EA1CA4">
        <w:rPr>
          <w:rFonts w:ascii="Times New Roman" w:hAnsi="Times New Roman"/>
          <w:color w:val="000000"/>
          <w:sz w:val="24"/>
          <w:szCs w:val="24"/>
          <w:lang w:val="sq-AL"/>
        </w:rPr>
        <w:t>Zhvillimi dhe miratimi i standardeve dhe procedurave operacionale për organizatat e shoqërisë civile për të ofruar gjetjen aktive të rasteve, ndjekjen e trajtimit dhe shërbimet e mbështetjes psiko-sociale për pacientët me TB dhe familjet e tyre</w:t>
      </w:r>
      <w:r w:rsidR="008977CB" w:rsidRPr="00EA1CA4">
        <w:rPr>
          <w:rFonts w:ascii="Times New Roman" w:hAnsi="Times New Roman"/>
          <w:color w:val="000000"/>
          <w:sz w:val="24"/>
          <w:szCs w:val="24"/>
          <w:lang w:val="sq-AL"/>
        </w:rPr>
        <w:t xml:space="preserve"> </w:t>
      </w:r>
      <w:r w:rsidR="00E90EA1" w:rsidRPr="00EA1CA4">
        <w:rPr>
          <w:rFonts w:ascii="Times New Roman" w:hAnsi="Times New Roman"/>
          <w:color w:val="000000"/>
          <w:sz w:val="24"/>
          <w:szCs w:val="24"/>
          <w:lang w:val="sq-AL"/>
        </w:rPr>
        <w:t xml:space="preserve"> </w:t>
      </w:r>
    </w:p>
    <w:p w:rsidR="008222CF" w:rsidRPr="00EA1CA4" w:rsidRDefault="00492D2A">
      <w:pPr>
        <w:pStyle w:val="ListParagraph"/>
        <w:numPr>
          <w:ilvl w:val="2"/>
          <w:numId w:val="40"/>
        </w:numPr>
        <w:spacing w:line="276" w:lineRule="auto"/>
        <w:jc w:val="both"/>
        <w:rPr>
          <w:rFonts w:ascii="Times New Roman" w:hAnsi="Times New Roman"/>
          <w:b/>
          <w:i/>
          <w:sz w:val="24"/>
          <w:szCs w:val="24"/>
          <w:lang w:val="sq-AL"/>
        </w:rPr>
      </w:pPr>
      <w:r w:rsidRPr="00EA1CA4">
        <w:rPr>
          <w:rFonts w:ascii="Times New Roman" w:hAnsi="Times New Roman"/>
          <w:color w:val="000000"/>
          <w:sz w:val="24"/>
          <w:szCs w:val="24"/>
          <w:lang w:val="sq-AL"/>
        </w:rPr>
        <w:t>Sigurimi i shërbimeve të respektimit të trajtimit për të gjithë pacientët me TB, duke përfshirë pacientët me LTBI dhe MRD-TB, duke ofruar edukim e pacientëve dhe këshillimin për t’ju përmbajtur trajtimit</w:t>
      </w:r>
    </w:p>
    <w:p w:rsidR="00E90EA1" w:rsidRPr="00EA1CA4" w:rsidRDefault="00492D2A">
      <w:pPr>
        <w:pStyle w:val="ListParagraph"/>
        <w:numPr>
          <w:ilvl w:val="2"/>
          <w:numId w:val="40"/>
        </w:numPr>
        <w:spacing w:line="276" w:lineRule="auto"/>
        <w:jc w:val="both"/>
        <w:rPr>
          <w:rFonts w:ascii="Times New Roman" w:hAnsi="Times New Roman"/>
          <w:b/>
          <w:i/>
          <w:sz w:val="24"/>
          <w:szCs w:val="24"/>
          <w:lang w:val="sq-AL"/>
        </w:rPr>
      </w:pPr>
      <w:r w:rsidRPr="00EA1CA4">
        <w:rPr>
          <w:rFonts w:ascii="Times New Roman" w:hAnsi="Times New Roman"/>
          <w:color w:val="000000"/>
          <w:sz w:val="24"/>
          <w:szCs w:val="24"/>
          <w:lang w:val="sq-AL"/>
        </w:rPr>
        <w:t>Zbatimi i mbrojtjes sociale, zbutjes së varfërisë dhe veprimeve të tjera për të adresuar përcaktuesit socialë të tuberkulozit</w:t>
      </w:r>
      <w:r w:rsidR="00E90EA1" w:rsidRPr="00EA1CA4">
        <w:rPr>
          <w:rFonts w:ascii="Times New Roman" w:hAnsi="Times New Roman"/>
          <w:color w:val="000000"/>
          <w:sz w:val="24"/>
          <w:szCs w:val="24"/>
          <w:lang w:val="sq-AL"/>
        </w:rPr>
        <w:t>.</w:t>
      </w:r>
    </w:p>
    <w:p w:rsidR="00E90EA1" w:rsidRPr="00EA1CA4" w:rsidRDefault="006C4957" w:rsidP="00624E04">
      <w:pPr>
        <w:spacing w:line="276" w:lineRule="auto"/>
        <w:jc w:val="both"/>
        <w:rPr>
          <w:b/>
          <w:i/>
          <w:lang w:eastAsia="en-US"/>
        </w:rPr>
      </w:pPr>
      <w:r w:rsidRPr="00EA1CA4">
        <w:rPr>
          <w:b/>
          <w:i/>
          <w:lang w:eastAsia="en-US"/>
        </w:rPr>
        <w:t>Rezultatet e pritura</w:t>
      </w:r>
      <w:r w:rsidR="00E90EA1" w:rsidRPr="00EA1CA4">
        <w:rPr>
          <w:b/>
          <w:i/>
          <w:lang w:eastAsia="en-US"/>
        </w:rPr>
        <w:t xml:space="preserve">: </w:t>
      </w:r>
    </w:p>
    <w:p w:rsidR="00E90EA1" w:rsidRPr="00EA1CA4" w:rsidRDefault="006C4957">
      <w:pPr>
        <w:pStyle w:val="ListParagraph"/>
        <w:numPr>
          <w:ilvl w:val="0"/>
          <w:numId w:val="24"/>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 xml:space="preserve">Janë miratuar standardet dhe procedurat operative për organizatat e shoqërisë civile në ofrimin e shërbimeve të mbështetjes psiko-sociale për të siguruar ndjekjen e trajtimit për njerëzit me TB </w:t>
      </w:r>
      <w:r w:rsidR="00E90EA1" w:rsidRPr="00EA1CA4">
        <w:rPr>
          <w:rStyle w:val="FootnoteReference"/>
          <w:rFonts w:ascii="Times New Roman" w:hAnsi="Times New Roman"/>
          <w:sz w:val="24"/>
          <w:szCs w:val="24"/>
          <w:lang w:val="sq-AL"/>
        </w:rPr>
        <w:footnoteReference w:id="75"/>
      </w:r>
    </w:p>
    <w:p w:rsidR="00E90EA1" w:rsidRPr="00EA1CA4" w:rsidRDefault="006C4957">
      <w:pPr>
        <w:pStyle w:val="ListParagraph"/>
        <w:numPr>
          <w:ilvl w:val="0"/>
          <w:numId w:val="24"/>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Përqindja e njerëzve me TB që filluan trajtimin e TB-së dhe që marrin çfarëdo forme të mbështetjes për ndjekjen e trajtimit nga OSHC-të po rritet (përfshirë mbështetjen psiko-sociale</w:t>
      </w:r>
      <w:r w:rsidR="00E90EA1" w:rsidRPr="00EA1CA4">
        <w:rPr>
          <w:rFonts w:ascii="Times New Roman" w:hAnsi="Times New Roman"/>
          <w:sz w:val="24"/>
          <w:szCs w:val="24"/>
          <w:lang w:val="sq-AL"/>
        </w:rPr>
        <w:t>).</w:t>
      </w:r>
      <w:r w:rsidR="00E90EA1" w:rsidRPr="00EA1CA4">
        <w:rPr>
          <w:rStyle w:val="FootnoteReference"/>
          <w:rFonts w:ascii="Times New Roman" w:hAnsi="Times New Roman"/>
          <w:sz w:val="24"/>
          <w:szCs w:val="24"/>
          <w:lang w:val="sq-AL"/>
        </w:rPr>
        <w:footnoteReference w:id="76"/>
      </w:r>
    </w:p>
    <w:p w:rsidR="00E90EA1" w:rsidRPr="00EA1CA4" w:rsidRDefault="00E30030" w:rsidP="00624E04">
      <w:pPr>
        <w:spacing w:line="276" w:lineRule="auto"/>
        <w:jc w:val="both"/>
        <w:rPr>
          <w:b/>
        </w:rPr>
      </w:pPr>
      <w:r w:rsidRPr="00EA1CA4">
        <w:rPr>
          <w:b/>
        </w:rPr>
        <w:t>Rez</w:t>
      </w:r>
      <w:r w:rsidR="00E90EA1" w:rsidRPr="00EA1CA4">
        <w:rPr>
          <w:b/>
        </w:rPr>
        <w:t>ult</w:t>
      </w:r>
      <w:r w:rsidRPr="00EA1CA4">
        <w:rPr>
          <w:b/>
        </w:rPr>
        <w:t>ati</w:t>
      </w:r>
      <w:r w:rsidR="00E90EA1" w:rsidRPr="00EA1CA4">
        <w:rPr>
          <w:b/>
        </w:rPr>
        <w:t xml:space="preserve"> 4.3 </w:t>
      </w:r>
      <w:r w:rsidRPr="00EA1CA4">
        <w:rPr>
          <w:b/>
        </w:rPr>
        <w:t xml:space="preserve">Rrjetëzimi </w:t>
      </w:r>
      <w:r w:rsidR="00492D2A" w:rsidRPr="00EA1CA4">
        <w:rPr>
          <w:b/>
        </w:rPr>
        <w:t>dhe avokimi i komunitetit</w:t>
      </w:r>
    </w:p>
    <w:p w:rsidR="00E90EA1" w:rsidRPr="00EA1CA4" w:rsidRDefault="00E90EA1" w:rsidP="00624E04">
      <w:pPr>
        <w:spacing w:line="276" w:lineRule="auto"/>
        <w:jc w:val="both"/>
        <w:rPr>
          <w:b/>
        </w:rPr>
      </w:pPr>
    </w:p>
    <w:p w:rsidR="00E90EA1" w:rsidRPr="00EA1CA4" w:rsidRDefault="00A847DE" w:rsidP="00624E04">
      <w:pPr>
        <w:spacing w:line="276" w:lineRule="auto"/>
        <w:jc w:val="both"/>
      </w:pPr>
      <w:r w:rsidRPr="00EA1CA4">
        <w:rPr>
          <w:b/>
        </w:rPr>
        <w:t>Krij</w:t>
      </w:r>
      <w:r w:rsidR="00492D2A" w:rsidRPr="00EA1CA4">
        <w:rPr>
          <w:b/>
        </w:rPr>
        <w:t xml:space="preserve">imi i </w:t>
      </w:r>
      <w:r w:rsidRPr="00EA1CA4">
        <w:rPr>
          <w:b/>
        </w:rPr>
        <w:t>rrjete</w:t>
      </w:r>
      <w:r w:rsidR="00492D2A" w:rsidRPr="00EA1CA4">
        <w:rPr>
          <w:b/>
        </w:rPr>
        <w:t>ve</w:t>
      </w:r>
      <w:r w:rsidR="009E199A" w:rsidRPr="00EA1CA4">
        <w:rPr>
          <w:b/>
        </w:rPr>
        <w:t>,</w:t>
      </w:r>
      <w:r w:rsidRPr="00EA1CA4">
        <w:rPr>
          <w:b/>
        </w:rPr>
        <w:t xml:space="preserve"> </w:t>
      </w:r>
      <w:r w:rsidR="009E199A" w:rsidRPr="00EA1CA4">
        <w:rPr>
          <w:b/>
        </w:rPr>
        <w:t xml:space="preserve">lidhjeve dhe partneriteteve </w:t>
      </w:r>
      <w:r w:rsidRPr="00EA1CA4">
        <w:rPr>
          <w:b/>
        </w:rPr>
        <w:t xml:space="preserve">funksionale </w:t>
      </w:r>
      <w:r w:rsidR="009E199A" w:rsidRPr="00EA1CA4">
        <w:rPr>
          <w:b/>
        </w:rPr>
        <w:t xml:space="preserve">të </w:t>
      </w:r>
      <w:r w:rsidRPr="00EA1CA4">
        <w:rPr>
          <w:b/>
        </w:rPr>
        <w:t>komunit</w:t>
      </w:r>
      <w:r w:rsidR="009E199A" w:rsidRPr="00EA1CA4">
        <w:rPr>
          <w:b/>
        </w:rPr>
        <w:t>etit</w:t>
      </w:r>
      <w:r w:rsidRPr="00EA1CA4">
        <w:rPr>
          <w:b/>
        </w:rPr>
        <w:t xml:space="preserve">: </w:t>
      </w:r>
      <w:r w:rsidRPr="00EA1CA4">
        <w:t xml:space="preserve">mundësimi i ofrimit efektiv të aktiviteteve dhe shërbimeve, do të forcohen partneritetet formale ndërmjet komuniteteve, aktorëve të komunitetit dhe </w:t>
      </w:r>
      <w:r w:rsidRPr="00EA1CA4">
        <w:lastRenderedPageBreak/>
        <w:t>palëve të tjera të interesuara. Theks i veçantë do t'i kushtohet iniciativave të integruara të avokimit për qëndrueshmërinë e përgjigjeve kombëtare si për TB ashtu edhe për HIV</w:t>
      </w:r>
      <w:r w:rsidR="00E90EA1" w:rsidRPr="00EA1CA4">
        <w:t xml:space="preserve">. </w:t>
      </w:r>
      <w:r w:rsidRPr="00EA1CA4">
        <w:t xml:space="preserve">Nevoja për bashkëpunim është edhe më kritike në periudhën e tranzicionit, kur shumë aktivitete nën komponentin RSSH të </w:t>
      </w:r>
      <w:r w:rsidR="00492D2A" w:rsidRPr="00EA1CA4">
        <w:t>PKV</w:t>
      </w:r>
      <w:r w:rsidRPr="00EA1CA4">
        <w:t xml:space="preserve"> për TB janë po aq të rëndësishme për të dy programet e sëmundjes. Rrjetet e komunitetit që funksionojnë mirë do t'u mundësojnë palëve të interesuara të punojnë në mënyra plotësuese dhe reciproke përforcuese që do të maksimizonin ndikimin përmes burimeve të kufizuara të disponueshme. Buxheti për disa aktivitete ndër</w:t>
      </w:r>
      <w:r w:rsidR="00492D2A" w:rsidRPr="00EA1CA4">
        <w:t>-</w:t>
      </w:r>
      <w:r w:rsidRPr="00EA1CA4">
        <w:t>sektoriale mund të ndahet gjithashtu midis dy programeve</w:t>
      </w:r>
      <w:r w:rsidR="00E90EA1" w:rsidRPr="00EA1CA4">
        <w:t xml:space="preserve">. </w:t>
      </w:r>
    </w:p>
    <w:p w:rsidR="00333BBD" w:rsidRPr="00EA1CA4" w:rsidRDefault="00542A44" w:rsidP="00624E04">
      <w:pPr>
        <w:autoSpaceDE w:val="0"/>
        <w:autoSpaceDN w:val="0"/>
        <w:adjustRightInd w:val="0"/>
        <w:spacing w:line="276" w:lineRule="auto"/>
        <w:jc w:val="both"/>
      </w:pPr>
      <w:r w:rsidRPr="00EA1CA4">
        <w:rPr>
          <w:b/>
        </w:rPr>
        <w:t>Promovimi i mbul</w:t>
      </w:r>
      <w:r w:rsidR="00492D2A" w:rsidRPr="00EA1CA4">
        <w:rPr>
          <w:b/>
        </w:rPr>
        <w:t xml:space="preserve">imit </w:t>
      </w:r>
      <w:r w:rsidRPr="00EA1CA4">
        <w:rPr>
          <w:b/>
        </w:rPr>
        <w:t>universal shëndetësor në Kosovë dhe integrimi i PK</w:t>
      </w:r>
      <w:r w:rsidR="00492D2A" w:rsidRPr="00EA1CA4">
        <w:rPr>
          <w:b/>
        </w:rPr>
        <w:t>K</w:t>
      </w:r>
      <w:r w:rsidRPr="00EA1CA4">
        <w:rPr>
          <w:b/>
        </w:rPr>
        <w:t>T</w:t>
      </w:r>
      <w:r w:rsidR="008A727A" w:rsidRPr="00EA1CA4">
        <w:rPr>
          <w:b/>
        </w:rPr>
        <w:t>B</w:t>
      </w:r>
      <w:r w:rsidRPr="00EA1CA4">
        <w:rPr>
          <w:b/>
        </w:rPr>
        <w:t xml:space="preserve"> në </w:t>
      </w:r>
      <w:r w:rsidR="00492D2A" w:rsidRPr="00EA1CA4">
        <w:rPr>
          <w:b/>
        </w:rPr>
        <w:t>K</w:t>
      </w:r>
      <w:r w:rsidRPr="00EA1CA4">
        <w:rPr>
          <w:b/>
        </w:rPr>
        <w:t>US</w:t>
      </w:r>
      <w:r w:rsidR="00492D2A" w:rsidRPr="00EA1CA4">
        <w:rPr>
          <w:b/>
        </w:rPr>
        <w:t>H</w:t>
      </w:r>
      <w:r w:rsidR="00E90EA1" w:rsidRPr="00EA1CA4">
        <w:t xml:space="preserve">: </w:t>
      </w:r>
      <w:bookmarkStart w:id="58" w:name="_Ref82969514"/>
      <w:r w:rsidRPr="00EA1CA4">
        <w:t>Raporti i fundit i Komisionit Evropian për Kosovën</w:t>
      </w:r>
      <w:r w:rsidR="00E90EA1" w:rsidRPr="00EA1CA4">
        <w:rPr>
          <w:rStyle w:val="FootnoteReference"/>
        </w:rPr>
        <w:footnoteReference w:id="77"/>
      </w:r>
      <w:bookmarkEnd w:id="58"/>
      <w:r w:rsidR="00E90EA1" w:rsidRPr="00EA1CA4">
        <w:t xml:space="preserve"> </w:t>
      </w:r>
      <w:r w:rsidR="003344EC" w:rsidRPr="00EA1CA4">
        <w:t>thotë se Kosova nuk ofron sigurim shëndetësor universal dhe për arsye ekonomike, rreth 18% e popullsisë nuk kërkon shërbime mjekësore në rast sëmundjeje</w:t>
      </w:r>
      <w:r w:rsidR="00E90EA1" w:rsidRPr="00EA1CA4">
        <w:t xml:space="preserve">. </w:t>
      </w:r>
      <w:r w:rsidR="00333BBD" w:rsidRPr="00EA1CA4">
        <w:t>Ky mund të jetë një burim shqetësimi se disa pacientë me simptoma të lidhura me TB mund të jenë të pa</w:t>
      </w:r>
      <w:r w:rsidR="00492D2A" w:rsidRPr="00EA1CA4">
        <w:t xml:space="preserve"> </w:t>
      </w:r>
      <w:r w:rsidR="00333BBD" w:rsidRPr="00EA1CA4">
        <w:t>diagnostikuar dhe komunitetet e pa</w:t>
      </w:r>
      <w:r w:rsidR="00492D2A" w:rsidRPr="00EA1CA4">
        <w:t xml:space="preserve"> </w:t>
      </w:r>
      <w:r w:rsidR="00333BBD" w:rsidRPr="00EA1CA4">
        <w:t>shërbyera mund të humbasin qasjen në shërbimet e kujdesit për TB.</w:t>
      </w:r>
    </w:p>
    <w:p w:rsidR="00E90EA1" w:rsidRPr="00EA1CA4" w:rsidRDefault="00333BBD" w:rsidP="00624E04">
      <w:pPr>
        <w:autoSpaceDE w:val="0"/>
        <w:autoSpaceDN w:val="0"/>
        <w:adjustRightInd w:val="0"/>
        <w:spacing w:line="276" w:lineRule="auto"/>
        <w:jc w:val="both"/>
      </w:pPr>
      <w:r w:rsidRPr="00EA1CA4">
        <w:t>I njëjti raport thekson se “Kosova ende duhet të prezantojë një skemë të mbul</w:t>
      </w:r>
      <w:r w:rsidR="00492D2A" w:rsidRPr="00EA1CA4">
        <w:t xml:space="preserve">imit </w:t>
      </w:r>
      <w:r w:rsidRPr="00EA1CA4">
        <w:t>universal shëndetësore dhe të ndryshojë Ligjin për sigurimet shëndetësore. Nuk ka filluar të mbledhë primet shëndetësore. Sistemi informativ i shëndetit publik ende nuk është funksional dhe zbatimi i strategjisë së komunikimit në mbështetje të Ligjit për sigurimet shëndetësore është vonuar edhe më tej</w:t>
      </w:r>
      <w:r w:rsidR="00E90EA1" w:rsidRPr="00EA1CA4">
        <w:t>.’</w:t>
      </w:r>
      <w:r w:rsidR="00D75ED6">
        <w:fldChar w:fldCharType="begin"/>
      </w:r>
      <w:r w:rsidR="00D75ED6">
        <w:instrText xml:space="preserve"> NOTEREF _Ref82969514 \f \h  \* MERGEFORMAT </w:instrText>
      </w:r>
      <w:r w:rsidR="00D75ED6">
        <w:fldChar w:fldCharType="separate"/>
      </w:r>
      <w:r w:rsidR="00DD5916" w:rsidRPr="00EA1CA4">
        <w:rPr>
          <w:rStyle w:val="FootnoteReference"/>
        </w:rPr>
        <w:t>79</w:t>
      </w:r>
      <w:r w:rsidR="00D75ED6">
        <w:fldChar w:fldCharType="end"/>
      </w:r>
    </w:p>
    <w:p w:rsidR="00E90EA1" w:rsidRPr="00EA1CA4" w:rsidRDefault="00442E64" w:rsidP="00624E04">
      <w:pPr>
        <w:autoSpaceDE w:val="0"/>
        <w:autoSpaceDN w:val="0"/>
        <w:adjustRightInd w:val="0"/>
        <w:spacing w:line="276" w:lineRule="auto"/>
        <w:jc w:val="both"/>
      </w:pPr>
      <w:r w:rsidRPr="00EA1CA4">
        <w:t>PKT</w:t>
      </w:r>
      <w:r w:rsidR="008A727A" w:rsidRPr="00EA1CA4">
        <w:t>B</w:t>
      </w:r>
      <w:r w:rsidRPr="00EA1CA4">
        <w:t>-ja pranon se qëllimi përfundimtar i reformës së kujdesit shëndetësor në Kosovë duhet të jetë futja e shpejtë e mbul</w:t>
      </w:r>
      <w:r w:rsidR="00492D2A" w:rsidRPr="00EA1CA4">
        <w:t xml:space="preserve">imit </w:t>
      </w:r>
      <w:r w:rsidRPr="00EA1CA4">
        <w:t xml:space="preserve">universal shëndetësor, i cili më pas duhet të pasohet nga integrimi i programeve specifike të sëmundjeve, përfshirë programet e HIV-it dhe TB-së, në kujdesin shëndetësor universal. Kështu, iniciativat e avokimit për të ndikuar në reformën shëndetësore dhe për të promovuar </w:t>
      </w:r>
      <w:r w:rsidR="00492D2A" w:rsidRPr="00EA1CA4">
        <w:t>KUSH</w:t>
      </w:r>
      <w:r w:rsidRPr="00EA1CA4">
        <w:t xml:space="preserve"> do të zbatohen nga akterët kryesorë të TB gjatë viteve 2022-2024</w:t>
      </w:r>
      <w:r w:rsidR="00E90EA1" w:rsidRPr="00EA1CA4">
        <w:t xml:space="preserve">.  </w:t>
      </w:r>
    </w:p>
    <w:p w:rsidR="00492D2A" w:rsidRPr="00EA1CA4" w:rsidRDefault="00492D2A" w:rsidP="00624E04">
      <w:pPr>
        <w:spacing w:line="276" w:lineRule="auto"/>
        <w:jc w:val="both"/>
        <w:rPr>
          <w:b/>
          <w:i/>
          <w:lang w:eastAsia="en-US"/>
        </w:rPr>
      </w:pPr>
    </w:p>
    <w:p w:rsidR="00082023" w:rsidRPr="00EA1CA4" w:rsidRDefault="00A02DF4" w:rsidP="00082023">
      <w:pPr>
        <w:spacing w:line="276" w:lineRule="auto"/>
        <w:jc w:val="both"/>
        <w:rPr>
          <w:b/>
          <w:i/>
          <w:lang w:eastAsia="en-US"/>
        </w:rPr>
      </w:pPr>
      <w:r w:rsidRPr="00EA1CA4">
        <w:rPr>
          <w:b/>
          <w:i/>
          <w:lang w:eastAsia="en-US"/>
        </w:rPr>
        <w:t xml:space="preserve">Aktivitetet e planifikuara </w:t>
      </w:r>
    </w:p>
    <w:p w:rsidR="00082023" w:rsidRPr="00EA1CA4" w:rsidRDefault="00082023" w:rsidP="00082023">
      <w:pPr>
        <w:spacing w:line="276" w:lineRule="auto"/>
        <w:jc w:val="both"/>
        <w:rPr>
          <w:b/>
          <w:i/>
          <w:lang w:eastAsia="en-US"/>
        </w:rPr>
      </w:pPr>
    </w:p>
    <w:p w:rsidR="00082023" w:rsidRPr="00EA1CA4" w:rsidRDefault="00E27CDB">
      <w:pPr>
        <w:pStyle w:val="ListParagraph"/>
        <w:numPr>
          <w:ilvl w:val="2"/>
          <w:numId w:val="41"/>
        </w:numPr>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Krijoni rrjete funksionale komunitare, lidhje</w:t>
      </w:r>
      <w:r w:rsidR="00492D2A" w:rsidRPr="00EA1CA4">
        <w:rPr>
          <w:rFonts w:ascii="Times New Roman" w:hAnsi="Times New Roman"/>
          <w:sz w:val="24"/>
          <w:szCs w:val="24"/>
          <w:lang w:val="sq-AL"/>
        </w:rPr>
        <w:t>ve</w:t>
      </w:r>
      <w:r w:rsidRPr="00EA1CA4">
        <w:rPr>
          <w:rFonts w:ascii="Times New Roman" w:hAnsi="Times New Roman"/>
          <w:sz w:val="24"/>
          <w:szCs w:val="24"/>
          <w:lang w:val="sq-AL"/>
        </w:rPr>
        <w:t xml:space="preserve"> dhe partneritete</w:t>
      </w:r>
      <w:r w:rsidR="00492D2A" w:rsidRPr="00EA1CA4">
        <w:rPr>
          <w:rFonts w:ascii="Times New Roman" w:hAnsi="Times New Roman"/>
          <w:sz w:val="24"/>
          <w:szCs w:val="24"/>
          <w:lang w:val="sq-AL"/>
        </w:rPr>
        <w:t>ve</w:t>
      </w:r>
      <w:r w:rsidRPr="00EA1CA4">
        <w:rPr>
          <w:rFonts w:ascii="Times New Roman" w:hAnsi="Times New Roman"/>
          <w:sz w:val="24"/>
          <w:szCs w:val="24"/>
          <w:lang w:val="sq-AL"/>
        </w:rPr>
        <w:t xml:space="preserve"> </w:t>
      </w:r>
      <w:r w:rsidR="00492D2A" w:rsidRPr="00EA1CA4">
        <w:rPr>
          <w:rFonts w:ascii="Times New Roman" w:hAnsi="Times New Roman"/>
          <w:sz w:val="24"/>
          <w:szCs w:val="24"/>
          <w:lang w:val="sq-AL"/>
        </w:rPr>
        <w:t xml:space="preserve">midis </w:t>
      </w:r>
      <w:r w:rsidRPr="00EA1CA4">
        <w:rPr>
          <w:rFonts w:ascii="Times New Roman" w:hAnsi="Times New Roman"/>
          <w:sz w:val="24"/>
          <w:szCs w:val="24"/>
          <w:lang w:val="sq-AL"/>
        </w:rPr>
        <w:t>akt</w:t>
      </w:r>
      <w:r w:rsidR="00492D2A" w:rsidRPr="00EA1CA4">
        <w:rPr>
          <w:rFonts w:ascii="Times New Roman" w:hAnsi="Times New Roman"/>
          <w:sz w:val="24"/>
          <w:szCs w:val="24"/>
          <w:lang w:val="sq-AL"/>
        </w:rPr>
        <w:t>e</w:t>
      </w:r>
      <w:r w:rsidRPr="00EA1CA4">
        <w:rPr>
          <w:rFonts w:ascii="Times New Roman" w:hAnsi="Times New Roman"/>
          <w:sz w:val="24"/>
          <w:szCs w:val="24"/>
          <w:lang w:val="sq-AL"/>
        </w:rPr>
        <w:t>rëve të komunitetit me HIV dhe TB</w:t>
      </w:r>
    </w:p>
    <w:p w:rsidR="00082023" w:rsidRPr="00EA1CA4" w:rsidRDefault="00E27CDB">
      <w:pPr>
        <w:pStyle w:val="ListParagraph"/>
        <w:numPr>
          <w:ilvl w:val="2"/>
          <w:numId w:val="41"/>
        </w:numPr>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Zbat</w:t>
      </w:r>
      <w:r w:rsidR="00492D2A" w:rsidRPr="00EA1CA4">
        <w:rPr>
          <w:rFonts w:ascii="Times New Roman" w:hAnsi="Times New Roman"/>
          <w:sz w:val="24"/>
          <w:szCs w:val="24"/>
          <w:lang w:val="sq-AL"/>
        </w:rPr>
        <w:t xml:space="preserve">imi i </w:t>
      </w:r>
      <w:r w:rsidRPr="00EA1CA4">
        <w:rPr>
          <w:rFonts w:ascii="Times New Roman" w:hAnsi="Times New Roman"/>
          <w:sz w:val="24"/>
          <w:szCs w:val="24"/>
          <w:lang w:val="sq-AL"/>
        </w:rPr>
        <w:t>aktivitetev</w:t>
      </w:r>
      <w:r w:rsidR="00492D2A" w:rsidRPr="00EA1CA4">
        <w:rPr>
          <w:rFonts w:ascii="Times New Roman" w:hAnsi="Times New Roman"/>
          <w:sz w:val="24"/>
          <w:szCs w:val="24"/>
          <w:lang w:val="sq-AL"/>
        </w:rPr>
        <w:t>e</w:t>
      </w:r>
      <w:r w:rsidRPr="00EA1CA4">
        <w:rPr>
          <w:rFonts w:ascii="Times New Roman" w:hAnsi="Times New Roman"/>
          <w:sz w:val="24"/>
          <w:szCs w:val="24"/>
          <w:lang w:val="sq-AL"/>
        </w:rPr>
        <w:t xml:space="preserve"> avokuese për të ndikuar në proceset e reformës shëndetësore në nivel të MSH-së</w:t>
      </w:r>
    </w:p>
    <w:p w:rsidR="00082023" w:rsidRPr="00EA1CA4" w:rsidRDefault="00492D2A">
      <w:pPr>
        <w:pStyle w:val="ListParagraph"/>
        <w:numPr>
          <w:ilvl w:val="2"/>
          <w:numId w:val="41"/>
        </w:numPr>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Sigurimi i angazhimit aktiv të palëve të interesuara të PKTB-së, përfshirë shoqërinë civile në dialogun e politikave kombëtare në lidhje me sigurimin shëndetësor, ndryshimet në ligjet e sistemit shëndetësor, etj</w:t>
      </w:r>
      <w:r w:rsidR="00E90EA1" w:rsidRPr="00EA1CA4">
        <w:rPr>
          <w:rFonts w:ascii="Times New Roman" w:hAnsi="Times New Roman"/>
          <w:sz w:val="24"/>
          <w:szCs w:val="24"/>
          <w:lang w:val="sq-AL"/>
        </w:rPr>
        <w:t>.</w:t>
      </w:r>
    </w:p>
    <w:p w:rsidR="00E90EA1" w:rsidRPr="00EA1CA4" w:rsidRDefault="00492D2A">
      <w:pPr>
        <w:pStyle w:val="ListParagraph"/>
        <w:numPr>
          <w:ilvl w:val="2"/>
          <w:numId w:val="41"/>
        </w:numPr>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Përgatitja e përmbledhjes së politikave dhe instrumenteve të tjera avokuese të bazuara në prova, që shqyrtojnë madhësinë e barrierave të shërbimit të kujdesit shëndetësor për popullatën e pa shërbyer, dhe ndikimin e saj të mundshëm në epideminë e TB</w:t>
      </w:r>
      <w:r w:rsidR="00E90EA1" w:rsidRPr="00EA1CA4">
        <w:rPr>
          <w:rFonts w:ascii="Times New Roman" w:hAnsi="Times New Roman"/>
          <w:sz w:val="24"/>
          <w:szCs w:val="24"/>
          <w:lang w:val="sq-AL"/>
        </w:rPr>
        <w:t xml:space="preserve">. </w:t>
      </w:r>
    </w:p>
    <w:p w:rsidR="00E90EA1" w:rsidRPr="00EA1CA4" w:rsidRDefault="00BB0D4C" w:rsidP="00624E04">
      <w:pPr>
        <w:spacing w:line="276" w:lineRule="auto"/>
        <w:jc w:val="both"/>
        <w:rPr>
          <w:b/>
          <w:lang w:eastAsia="en-US"/>
        </w:rPr>
      </w:pPr>
      <w:r w:rsidRPr="00EA1CA4">
        <w:rPr>
          <w:b/>
          <w:lang w:eastAsia="en-US"/>
        </w:rPr>
        <w:t>Rezultatet e pritura</w:t>
      </w:r>
    </w:p>
    <w:p w:rsidR="00E90EA1" w:rsidRPr="00EA1CA4" w:rsidRDefault="0054036F">
      <w:pPr>
        <w:pStyle w:val="ListParagraph"/>
        <w:numPr>
          <w:ilvl w:val="0"/>
          <w:numId w:val="27"/>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Rrjetet dhe partneritetet e komunitetit për TB dhe HIV janë forcuar dhe funksionale</w:t>
      </w:r>
    </w:p>
    <w:p w:rsidR="00E90EA1" w:rsidRPr="00EA1CA4" w:rsidRDefault="0054036F">
      <w:pPr>
        <w:pStyle w:val="ListParagraph"/>
        <w:numPr>
          <w:ilvl w:val="0"/>
          <w:numId w:val="27"/>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Reforma shëndetësore është nxitur dhe dialogu i politikave të mbul</w:t>
      </w:r>
      <w:r w:rsidR="00492D2A" w:rsidRPr="00EA1CA4">
        <w:rPr>
          <w:rFonts w:ascii="Times New Roman" w:hAnsi="Times New Roman"/>
          <w:sz w:val="24"/>
          <w:szCs w:val="24"/>
          <w:lang w:val="sq-AL"/>
        </w:rPr>
        <w:t xml:space="preserve">imit </w:t>
      </w:r>
      <w:r w:rsidRPr="00EA1CA4">
        <w:rPr>
          <w:rFonts w:ascii="Times New Roman" w:hAnsi="Times New Roman"/>
          <w:sz w:val="24"/>
          <w:szCs w:val="24"/>
          <w:lang w:val="sq-AL"/>
        </w:rPr>
        <w:t>universal shëndetësore është avancuar</w:t>
      </w:r>
    </w:p>
    <w:p w:rsidR="00E90EA1" w:rsidRPr="00EA1CA4" w:rsidRDefault="0054036F" w:rsidP="00624E04">
      <w:pPr>
        <w:spacing w:line="276" w:lineRule="auto"/>
        <w:jc w:val="both"/>
        <w:rPr>
          <w:b/>
        </w:rPr>
      </w:pPr>
      <w:r w:rsidRPr="00EA1CA4">
        <w:rPr>
          <w:b/>
        </w:rPr>
        <w:t>Objektivi specifik 5: Kërkime dhe inovacione të intensifikuara</w:t>
      </w:r>
      <w:r w:rsidR="00E90EA1" w:rsidRPr="00EA1CA4">
        <w:rPr>
          <w:b/>
        </w:rPr>
        <w:t xml:space="preserve"> </w:t>
      </w:r>
    </w:p>
    <w:p w:rsidR="00E90EA1" w:rsidRPr="00EA1CA4" w:rsidRDefault="00E90EA1" w:rsidP="00624E04">
      <w:pPr>
        <w:spacing w:line="276" w:lineRule="auto"/>
        <w:jc w:val="both"/>
        <w:rPr>
          <w:b/>
        </w:rPr>
      </w:pPr>
    </w:p>
    <w:p w:rsidR="00E90EA1" w:rsidRPr="00EA1CA4" w:rsidRDefault="0054036F" w:rsidP="00624E04">
      <w:pPr>
        <w:spacing w:line="276" w:lineRule="auto"/>
        <w:jc w:val="both"/>
        <w:rPr>
          <w:b/>
        </w:rPr>
      </w:pPr>
      <w:r w:rsidRPr="00EA1CA4">
        <w:rPr>
          <w:b/>
        </w:rPr>
        <w:t>Rez</w:t>
      </w:r>
      <w:r w:rsidR="00E90EA1" w:rsidRPr="00EA1CA4">
        <w:rPr>
          <w:b/>
        </w:rPr>
        <w:t>ult</w:t>
      </w:r>
      <w:r w:rsidRPr="00EA1CA4">
        <w:rPr>
          <w:b/>
        </w:rPr>
        <w:t>ati</w:t>
      </w:r>
      <w:r w:rsidR="00E90EA1" w:rsidRPr="00EA1CA4">
        <w:rPr>
          <w:b/>
        </w:rPr>
        <w:t xml:space="preserve"> 5.1: </w:t>
      </w:r>
      <w:r w:rsidR="00E62B16" w:rsidRPr="00EA1CA4">
        <w:rPr>
          <w:b/>
        </w:rPr>
        <w:t>Hulumtimi i intensifikuar për të optimizuar zbatimin dhe ndikimin e programit të TB dhe promovimin e inovacioneve</w:t>
      </w:r>
    </w:p>
    <w:p w:rsidR="00E90EA1" w:rsidRPr="00EA1CA4" w:rsidRDefault="00E90EA1" w:rsidP="00624E04">
      <w:pPr>
        <w:spacing w:line="276" w:lineRule="auto"/>
        <w:jc w:val="both"/>
        <w:rPr>
          <w:b/>
        </w:rPr>
      </w:pPr>
    </w:p>
    <w:p w:rsidR="00E90EA1" w:rsidRPr="00EA1CA4" w:rsidRDefault="00E62B16" w:rsidP="00624E04">
      <w:pPr>
        <w:spacing w:line="276" w:lineRule="auto"/>
        <w:jc w:val="both"/>
      </w:pPr>
      <w:r w:rsidRPr="00EA1CA4">
        <w:rPr>
          <w:b/>
        </w:rPr>
        <w:t>Përcaktimi dhe promovimi i agjendës së Kërkimit për TB</w:t>
      </w:r>
      <w:r w:rsidR="00E90EA1" w:rsidRPr="00EA1CA4">
        <w:t xml:space="preserve">: </w:t>
      </w:r>
      <w:r w:rsidR="006C09B0" w:rsidRPr="00EA1CA4">
        <w:t>Programi Kombëtar për TB do të identifikojë nevojat dhe mangësitë në programin e TB përmes kërkimit të intensifikuar. Mbështetja financiare nga Qeveria do të rritet në mënyrë graduale për të mbështetur kërkimin bazë dhe operacional në nivel kombëtar. A</w:t>
      </w:r>
      <w:r w:rsidR="0083722A" w:rsidRPr="00EA1CA4">
        <w:t>gj</w:t>
      </w:r>
      <w:r w:rsidR="006C09B0" w:rsidRPr="00EA1CA4">
        <w:t>enda paraprake e kërkimit është përcaktuar përmes procesit të konsultimit kombëtar</w:t>
      </w:r>
      <w:r w:rsidR="00E90EA1" w:rsidRPr="00EA1CA4">
        <w:t xml:space="preserve">. </w:t>
      </w:r>
      <w:r w:rsidR="00CC6D06" w:rsidRPr="00EA1CA4">
        <w:t xml:space="preserve">Megjithatë, rishikimi periodik i agjendës do të bëhet për t'iu përgjigjur nevojave të shfaqura, për të hartuar bashkëpunimin ndërmjet institucioneve kërkimore dhe organizatave të shoqërisë civile dhe për të identifikuar fusha </w:t>
      </w:r>
      <w:r w:rsidR="00CC6D06" w:rsidRPr="00EA1CA4">
        <w:lastRenderedPageBreak/>
        <w:t>të reja për bashkëpunim. Mekanizmi adekuat i etikës kërkimore do të vendoset brenda institucioneve kyçe, duke përfshirë akademinë dhe organizatat partnere që kryejnë agjendën kombëtare të kërkimit</w:t>
      </w:r>
      <w:r w:rsidR="00E90EA1" w:rsidRPr="00EA1CA4">
        <w:t xml:space="preserve">. </w:t>
      </w:r>
    </w:p>
    <w:p w:rsidR="00E90EA1" w:rsidRPr="00EA1CA4" w:rsidRDefault="00D76D16" w:rsidP="00624E04">
      <w:pPr>
        <w:spacing w:line="276" w:lineRule="auto"/>
        <w:jc w:val="both"/>
      </w:pPr>
      <w:r w:rsidRPr="00EA1CA4">
        <w:rPr>
          <w:b/>
        </w:rPr>
        <w:t>Forcimi i kapaciteteve kërkimore për TB</w:t>
      </w:r>
      <w:r w:rsidR="00E90EA1" w:rsidRPr="00EA1CA4">
        <w:t xml:space="preserve">: </w:t>
      </w:r>
      <w:r w:rsidR="0032283C" w:rsidRPr="00EA1CA4">
        <w:t>Kapaciteti kombëtar në kërkimin për TB dhe M</w:t>
      </w:r>
      <w:r w:rsidR="00492D2A" w:rsidRPr="00EA1CA4">
        <w:t>dhe</w:t>
      </w:r>
      <w:r w:rsidR="0032283C" w:rsidRPr="00EA1CA4">
        <w:t>V do të forcohet, veçanërisht brenda katedrave përkatëse të Fakultetit të Mjekësisë dhe Njësisë Qendrore të Menaxhimit të TB brenda MSH-së përmes trajnimeve, rrjeteve kërkimore, mundësive të shkëmbimit dhe pjesëmarrjes në konferenca kombëtare, rajonale dhe ndërkombëtare</w:t>
      </w:r>
      <w:r w:rsidR="00E90EA1" w:rsidRPr="00EA1CA4">
        <w:t xml:space="preserve">. </w:t>
      </w:r>
      <w:r w:rsidR="005A0563" w:rsidRPr="00EA1CA4">
        <w:t>Njësia do të mbikëqyrë a</w:t>
      </w:r>
      <w:r w:rsidR="0083722A" w:rsidRPr="00EA1CA4">
        <w:t>gj</w:t>
      </w:r>
      <w:r w:rsidR="005A0563" w:rsidRPr="00EA1CA4">
        <w:t>endën e kërkimeve për TB dhe do të shërbejë si platformë për ndarjen e gjetjeve inovative kërkimore që evoluojnë nga komunitetet kërkimore të TB në mbarë botën</w:t>
      </w:r>
      <w:r w:rsidR="00E90EA1" w:rsidRPr="00EA1CA4">
        <w:t xml:space="preserve">. </w:t>
      </w:r>
      <w:r w:rsidR="00291B4B" w:rsidRPr="00EA1CA4">
        <w:t>Për shembull, zyra rajonale e OBSH-së dokumenton vazhdimisht praktikat më të mira në zbatimin e modeleve të parandalimit, kujdesit, trajtimit dhe mbështetjes së TB-së (modele të kujdesit spitalor, jashtë spitalor, të kujdesit të bazuar në komunitetin) si dhe studime ekonomike dhe analiza të politikave për shmangien e kostove katastrofike për familjet e prekura nga tuberkulozi, etj</w:t>
      </w:r>
      <w:r w:rsidR="00E90EA1" w:rsidRPr="00EA1CA4">
        <w:t xml:space="preserve">. </w:t>
      </w:r>
      <w:r w:rsidR="003B74C9" w:rsidRPr="00EA1CA4">
        <w:t>Njësia për TB do të sigurojë që gjetjet e kërkimeve dhe praktikat më të mira të ndahen sistematikisht me politikë</w:t>
      </w:r>
      <w:r w:rsidR="00492D2A" w:rsidRPr="00EA1CA4">
        <w:t xml:space="preserve"> </w:t>
      </w:r>
      <w:r w:rsidR="003B74C9" w:rsidRPr="00EA1CA4">
        <w:t>bërësit e programit kombëtarë të TB dhe partnerët zbatues të programit</w:t>
      </w:r>
      <w:r w:rsidR="00E90EA1" w:rsidRPr="00EA1CA4">
        <w:t xml:space="preserve">. </w:t>
      </w:r>
    </w:p>
    <w:p w:rsidR="00E90EA1" w:rsidRPr="00EA1CA4" w:rsidRDefault="003D19C8" w:rsidP="00624E04">
      <w:pPr>
        <w:spacing w:line="276" w:lineRule="auto"/>
        <w:jc w:val="both"/>
      </w:pPr>
      <w:r w:rsidRPr="00EA1CA4">
        <w:t>Aktivitetet e mëposhtme do të zbatohen në 2022-2024 përmes përpjekjeve të përbashkëta të GF dhe shtetit për të promovuar kërkimet dhe inovacionet</w:t>
      </w:r>
      <w:r w:rsidR="00E90EA1" w:rsidRPr="00EA1CA4">
        <w:t xml:space="preserve">. </w:t>
      </w:r>
    </w:p>
    <w:p w:rsidR="0083722A" w:rsidRPr="00EA1CA4" w:rsidRDefault="0083722A" w:rsidP="00624E04">
      <w:pPr>
        <w:spacing w:line="276" w:lineRule="auto"/>
        <w:jc w:val="both"/>
        <w:rPr>
          <w:b/>
          <w:i/>
        </w:rPr>
      </w:pPr>
    </w:p>
    <w:p w:rsidR="00560F75" w:rsidRPr="00EA1CA4" w:rsidRDefault="00B8426F" w:rsidP="00560F75">
      <w:pPr>
        <w:spacing w:line="276" w:lineRule="auto"/>
        <w:jc w:val="both"/>
        <w:rPr>
          <w:b/>
          <w:i/>
        </w:rPr>
      </w:pPr>
      <w:r w:rsidRPr="00EA1CA4">
        <w:rPr>
          <w:b/>
          <w:i/>
        </w:rPr>
        <w:t>Aktivitetet e planifikuara</w:t>
      </w:r>
      <w:r w:rsidR="00E90EA1" w:rsidRPr="00EA1CA4">
        <w:rPr>
          <w:b/>
          <w:i/>
        </w:rPr>
        <w:t xml:space="preserve">: </w:t>
      </w:r>
    </w:p>
    <w:p w:rsidR="00560F75" w:rsidRPr="00EA1CA4" w:rsidRDefault="00560F75" w:rsidP="00560F75">
      <w:pPr>
        <w:spacing w:line="276" w:lineRule="auto"/>
        <w:jc w:val="both"/>
        <w:rPr>
          <w:bCs/>
          <w:iCs/>
        </w:rPr>
      </w:pPr>
    </w:p>
    <w:p w:rsidR="00560F75" w:rsidRPr="00EA1CA4" w:rsidRDefault="00492D2A">
      <w:pPr>
        <w:pStyle w:val="ListParagraph"/>
        <w:numPr>
          <w:ilvl w:val="2"/>
          <w:numId w:val="42"/>
        </w:numPr>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Zhvillimi i ekzaminimit të TB-së në mesin e PKSH-ve për të matur zbatimin e masave të kontrollit të infeksionit brenda sistemit të kujdesit shëndetësor</w:t>
      </w:r>
    </w:p>
    <w:p w:rsidR="00560F75" w:rsidRPr="00EA1CA4" w:rsidRDefault="00492D2A">
      <w:pPr>
        <w:pStyle w:val="ListParagraph"/>
        <w:numPr>
          <w:ilvl w:val="2"/>
          <w:numId w:val="42"/>
        </w:numPr>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Zhvillimi i studimit të cenueshmërisë së TB të popullatave më të cenueshme dhe pakicave etnike, duke përfshirë komunitetet RAE dhe të migrantëve, dhe vlerësimi i ndikimit të tij në evoluimin e epidemisë së TB-së në Kosovë</w:t>
      </w:r>
    </w:p>
    <w:p w:rsidR="00560F75" w:rsidRPr="00EA1CA4" w:rsidRDefault="00492D2A">
      <w:pPr>
        <w:pStyle w:val="ListParagraph"/>
        <w:numPr>
          <w:ilvl w:val="2"/>
          <w:numId w:val="42"/>
        </w:numPr>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Planifikimi i ofruesve privatë të shërbimeve të TB në Kosovë për të përmirësuar koordinimin dhe integrimin e shërbimeve, si dhe për të zgjeruar aktivitetet pilot PPMix në mbarë Kosovën</w:t>
      </w:r>
      <w:r w:rsidR="00211190" w:rsidRPr="00EA1CA4">
        <w:rPr>
          <w:rFonts w:ascii="Times New Roman" w:hAnsi="Times New Roman"/>
          <w:sz w:val="24"/>
          <w:szCs w:val="24"/>
          <w:lang w:val="sq-AL"/>
        </w:rPr>
        <w:t>n</w:t>
      </w:r>
    </w:p>
    <w:p w:rsidR="00CE11B9" w:rsidRPr="00EA1CA4" w:rsidRDefault="00211190">
      <w:pPr>
        <w:pStyle w:val="ListParagraph"/>
        <w:numPr>
          <w:ilvl w:val="2"/>
          <w:numId w:val="42"/>
        </w:numPr>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lastRenderedPageBreak/>
        <w:t>Vlerësimi i stigmës së lidhur me TB midis komuniteteve të prekura nga TB</w:t>
      </w:r>
      <w:r w:rsidR="00E90EA1" w:rsidRPr="00EA1CA4">
        <w:rPr>
          <w:rFonts w:ascii="Times New Roman" w:hAnsi="Times New Roman"/>
          <w:sz w:val="24"/>
          <w:szCs w:val="24"/>
          <w:lang w:val="sq-AL"/>
        </w:rPr>
        <w:t xml:space="preserve"> </w:t>
      </w:r>
    </w:p>
    <w:p w:rsidR="00CE11B9" w:rsidRPr="00EA1CA4" w:rsidRDefault="00A11789">
      <w:pPr>
        <w:pStyle w:val="ListParagraph"/>
        <w:numPr>
          <w:ilvl w:val="2"/>
          <w:numId w:val="42"/>
        </w:numPr>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Zhvillimi i studimeve periodike për të vlerësuar njohuritë, qëndrimet dhe praktikat e TB-së (NJQP) midis punonjësve të kujdesit shëndetësor dhe popullatës së përgjithshme, dhe studimeve mbi kënaqëshmërinë e pacientëve me shërbimet e TB</w:t>
      </w:r>
      <w:r w:rsidR="00E90EA1" w:rsidRPr="00EA1CA4">
        <w:rPr>
          <w:rFonts w:ascii="Times New Roman" w:hAnsi="Times New Roman"/>
          <w:sz w:val="24"/>
          <w:szCs w:val="24"/>
          <w:lang w:val="sq-AL"/>
        </w:rPr>
        <w:t xml:space="preserve"> </w:t>
      </w:r>
    </w:p>
    <w:p w:rsidR="00CE11B9" w:rsidRPr="00EA1CA4" w:rsidRDefault="00A11789">
      <w:pPr>
        <w:pStyle w:val="ListParagraph"/>
        <w:numPr>
          <w:ilvl w:val="2"/>
          <w:numId w:val="42"/>
        </w:numPr>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Zhvillimi i vlerësimit të reagimit kombëtar ndaj TB nga komunitetet, të drejtat e njeriut dhe gjinia (HRG) duke përdorur instrumentin standard të vlerësimit</w:t>
      </w:r>
      <w:r w:rsidR="00E90EA1" w:rsidRPr="00EA1CA4">
        <w:rPr>
          <w:rFonts w:ascii="Times New Roman" w:hAnsi="Times New Roman"/>
          <w:sz w:val="24"/>
          <w:szCs w:val="24"/>
          <w:lang w:val="sq-AL"/>
        </w:rPr>
        <w:t>.</w:t>
      </w:r>
      <w:r w:rsidR="00E90EA1" w:rsidRPr="00EA1CA4">
        <w:rPr>
          <w:rStyle w:val="FootnoteReference"/>
          <w:rFonts w:ascii="Times New Roman" w:hAnsi="Times New Roman"/>
          <w:sz w:val="24"/>
          <w:szCs w:val="24"/>
          <w:lang w:val="sq-AL"/>
        </w:rPr>
        <w:footnoteReference w:id="78"/>
      </w:r>
    </w:p>
    <w:p w:rsidR="00CE11B9" w:rsidRPr="00EA1CA4" w:rsidRDefault="00A11789">
      <w:pPr>
        <w:pStyle w:val="ListParagraph"/>
        <w:numPr>
          <w:ilvl w:val="2"/>
          <w:numId w:val="42"/>
        </w:numPr>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Mobilizimi i burimeve dhe rritja e financimit publik për promovimin e agjendës së kërkimit rreth TB-së në Kosovë</w:t>
      </w:r>
    </w:p>
    <w:p w:rsidR="00CE11B9" w:rsidRPr="00EA1CA4" w:rsidRDefault="00A11789">
      <w:pPr>
        <w:pStyle w:val="ListParagraph"/>
        <w:numPr>
          <w:ilvl w:val="2"/>
          <w:numId w:val="42"/>
        </w:numPr>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Forcimi i kapaciteteve kërkuese të TB-së në Katedrën e Pulmonologjisë pranë Fakultetit të Mjekësisë dhe Njësisë Qendrore të Menaxhimit të TB-së në MSH</w:t>
      </w:r>
    </w:p>
    <w:p w:rsidR="00E90EA1" w:rsidRPr="00EA1CA4" w:rsidRDefault="00A11789">
      <w:pPr>
        <w:pStyle w:val="ListParagraph"/>
        <w:numPr>
          <w:ilvl w:val="2"/>
          <w:numId w:val="42"/>
        </w:numPr>
        <w:spacing w:line="276" w:lineRule="auto"/>
        <w:jc w:val="both"/>
        <w:rPr>
          <w:rFonts w:ascii="Times New Roman" w:hAnsi="Times New Roman"/>
          <w:b/>
          <w:i/>
          <w:sz w:val="24"/>
          <w:szCs w:val="24"/>
          <w:lang w:val="sq-AL"/>
        </w:rPr>
      </w:pPr>
      <w:r w:rsidRPr="00EA1CA4">
        <w:rPr>
          <w:rFonts w:ascii="Times New Roman" w:hAnsi="Times New Roman"/>
          <w:sz w:val="24"/>
          <w:szCs w:val="24"/>
          <w:lang w:val="sq-AL"/>
        </w:rPr>
        <w:t>Promovimi i agjendës së kërkimit përmes rrjetëzimit dhe shkëmbimit të kërkimit, dhe pjesëmarrjes në takime/konferenca shkencore</w:t>
      </w:r>
      <w:r w:rsidR="00E90EA1" w:rsidRPr="00EA1CA4">
        <w:rPr>
          <w:rFonts w:ascii="Times New Roman" w:hAnsi="Times New Roman"/>
          <w:sz w:val="24"/>
          <w:szCs w:val="24"/>
          <w:lang w:val="sq-AL"/>
        </w:rPr>
        <w:t xml:space="preserve">. </w:t>
      </w:r>
    </w:p>
    <w:p w:rsidR="00E90EA1" w:rsidRPr="00EA1CA4" w:rsidRDefault="003B3CD5" w:rsidP="00624E04">
      <w:pPr>
        <w:spacing w:line="276" w:lineRule="auto"/>
        <w:jc w:val="both"/>
        <w:rPr>
          <w:b/>
          <w:i/>
          <w:color w:val="000000"/>
        </w:rPr>
      </w:pPr>
      <w:r w:rsidRPr="00EA1CA4">
        <w:rPr>
          <w:b/>
          <w:i/>
          <w:color w:val="000000"/>
        </w:rPr>
        <w:t>Rezultatet e pritura</w:t>
      </w:r>
      <w:r w:rsidR="00E90EA1" w:rsidRPr="00EA1CA4">
        <w:rPr>
          <w:b/>
          <w:i/>
          <w:color w:val="000000"/>
        </w:rPr>
        <w:t xml:space="preserve">: </w:t>
      </w:r>
    </w:p>
    <w:p w:rsidR="00E90EA1" w:rsidRPr="00EA1CA4" w:rsidRDefault="003B3CD5">
      <w:pPr>
        <w:pStyle w:val="ListParagraph"/>
        <w:numPr>
          <w:ilvl w:val="0"/>
          <w:numId w:val="24"/>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A</w:t>
      </w:r>
      <w:r w:rsidR="00A11789" w:rsidRPr="00EA1CA4">
        <w:rPr>
          <w:rFonts w:ascii="Times New Roman" w:hAnsi="Times New Roman"/>
          <w:sz w:val="24"/>
          <w:szCs w:val="24"/>
          <w:lang w:val="sq-AL"/>
        </w:rPr>
        <w:t>gj</w:t>
      </w:r>
      <w:r w:rsidRPr="00EA1CA4">
        <w:rPr>
          <w:rFonts w:ascii="Times New Roman" w:hAnsi="Times New Roman"/>
          <w:sz w:val="24"/>
          <w:szCs w:val="24"/>
          <w:lang w:val="sq-AL"/>
        </w:rPr>
        <w:t>enda kombëtare kërkimore për TB/Prioritetet kërkimore janë të integruara në planin strategjik kombëtar për TB-në</w:t>
      </w:r>
      <w:r w:rsidR="00E90EA1" w:rsidRPr="00EA1CA4">
        <w:rPr>
          <w:rStyle w:val="FootnoteReference"/>
          <w:rFonts w:ascii="Times New Roman" w:hAnsi="Times New Roman"/>
          <w:sz w:val="24"/>
          <w:szCs w:val="24"/>
          <w:lang w:val="sq-AL"/>
        </w:rPr>
        <w:footnoteReference w:id="79"/>
      </w:r>
    </w:p>
    <w:p w:rsidR="00E90EA1" w:rsidRPr="00EA1CA4" w:rsidRDefault="003B3CD5">
      <w:pPr>
        <w:pStyle w:val="ListParagraph"/>
        <w:numPr>
          <w:ilvl w:val="0"/>
          <w:numId w:val="24"/>
        </w:numPr>
        <w:spacing w:before="120" w:after="120" w:line="276" w:lineRule="auto"/>
        <w:jc w:val="both"/>
        <w:rPr>
          <w:rFonts w:ascii="Times New Roman" w:hAnsi="Times New Roman"/>
          <w:sz w:val="24"/>
          <w:szCs w:val="24"/>
          <w:lang w:val="sq-AL"/>
        </w:rPr>
      </w:pPr>
      <w:r w:rsidRPr="00EA1CA4">
        <w:rPr>
          <w:rFonts w:ascii="Times New Roman" w:hAnsi="Times New Roman"/>
          <w:sz w:val="24"/>
          <w:szCs w:val="24"/>
          <w:lang w:val="sq-AL"/>
        </w:rPr>
        <w:t>Qeveria mobilizoi burimet, duke përfshirë burimet financiare për të forcuar kapacitetin kombëtar të TB-së dhe për të zbatuar a</w:t>
      </w:r>
      <w:r w:rsidR="00A11789" w:rsidRPr="00EA1CA4">
        <w:rPr>
          <w:rFonts w:ascii="Times New Roman" w:hAnsi="Times New Roman"/>
          <w:sz w:val="24"/>
          <w:szCs w:val="24"/>
          <w:lang w:val="sq-AL"/>
        </w:rPr>
        <w:t>gj</w:t>
      </w:r>
      <w:r w:rsidRPr="00EA1CA4">
        <w:rPr>
          <w:rFonts w:ascii="Times New Roman" w:hAnsi="Times New Roman"/>
          <w:sz w:val="24"/>
          <w:szCs w:val="24"/>
          <w:lang w:val="sq-AL"/>
        </w:rPr>
        <w:t>endën kërkimore</w:t>
      </w:r>
      <w:r w:rsidR="00E90EA1" w:rsidRPr="00EA1CA4">
        <w:rPr>
          <w:rFonts w:ascii="Times New Roman" w:hAnsi="Times New Roman"/>
          <w:sz w:val="24"/>
          <w:szCs w:val="24"/>
          <w:lang w:val="sq-AL"/>
        </w:rPr>
        <w:t xml:space="preserve">.  </w:t>
      </w:r>
    </w:p>
    <w:p w:rsidR="00E90EA1" w:rsidRPr="00EA1CA4" w:rsidRDefault="00E90EA1" w:rsidP="00624E04">
      <w:pPr>
        <w:spacing w:line="276" w:lineRule="auto"/>
        <w:jc w:val="both"/>
      </w:pPr>
    </w:p>
    <w:p w:rsidR="00E90EA1" w:rsidRPr="00EA1CA4" w:rsidRDefault="00E90EA1" w:rsidP="00624E04">
      <w:pPr>
        <w:spacing w:line="276" w:lineRule="auto"/>
        <w:jc w:val="both"/>
      </w:pPr>
    </w:p>
    <w:p w:rsidR="00E90EA1" w:rsidRPr="00EA1CA4" w:rsidRDefault="00E90EA1" w:rsidP="00624E04">
      <w:pPr>
        <w:spacing w:line="276" w:lineRule="auto"/>
        <w:jc w:val="both"/>
      </w:pPr>
    </w:p>
    <w:p w:rsidR="00E90EA1" w:rsidRPr="00EA1CA4" w:rsidRDefault="00E90EA1" w:rsidP="00624E04">
      <w:pPr>
        <w:spacing w:line="276" w:lineRule="auto"/>
        <w:jc w:val="both"/>
      </w:pPr>
    </w:p>
    <w:p w:rsidR="00DA78D3" w:rsidRPr="00EA1CA4" w:rsidRDefault="00DA78D3">
      <w:pPr>
        <w:spacing w:after="200" w:line="276" w:lineRule="auto"/>
        <w:rPr>
          <w:rFonts w:eastAsiaTheme="majorEastAsia"/>
          <w:b/>
          <w:bCs/>
          <w:kern w:val="32"/>
          <w:lang w:eastAsia="en-US"/>
        </w:rPr>
      </w:pPr>
      <w:r w:rsidRPr="00EA1CA4">
        <w:rPr>
          <w:lang w:eastAsia="en-US"/>
        </w:rPr>
        <w:br w:type="page"/>
      </w:r>
    </w:p>
    <w:p w:rsidR="00DA78D3" w:rsidRPr="00EA1CA4" w:rsidRDefault="00DA78D3" w:rsidP="00DA78D3">
      <w:pPr>
        <w:pStyle w:val="Heading1"/>
        <w:rPr>
          <w:rFonts w:ascii="Times New Roman" w:hAnsi="Times New Roman"/>
          <w:szCs w:val="24"/>
          <w:lang w:eastAsia="en-US"/>
        </w:rPr>
      </w:pPr>
      <w:bookmarkStart w:id="59" w:name="_Toc108517257"/>
      <w:r w:rsidRPr="00EA1CA4">
        <w:rPr>
          <w:rFonts w:ascii="Times New Roman" w:hAnsi="Times New Roman"/>
          <w:szCs w:val="24"/>
          <w:lang w:eastAsia="en-US"/>
        </w:rPr>
        <w:lastRenderedPageBreak/>
        <w:t>Referencat</w:t>
      </w:r>
      <w:bookmarkEnd w:id="59"/>
    </w:p>
    <w:p w:rsidR="00DA78D3" w:rsidRPr="00EA1CA4" w:rsidRDefault="00DA78D3" w:rsidP="00DA78D3">
      <w:pPr>
        <w:spacing w:line="276" w:lineRule="auto"/>
        <w:jc w:val="both"/>
      </w:pPr>
    </w:p>
    <w:p w:rsidR="00DA78D3" w:rsidRPr="00EA1CA4" w:rsidRDefault="00DA78D3">
      <w:pPr>
        <w:pStyle w:val="ListParagraph"/>
        <w:numPr>
          <w:ilvl w:val="0"/>
          <w:numId w:val="28"/>
        </w:numPr>
        <w:spacing w:line="276" w:lineRule="auto"/>
        <w:rPr>
          <w:rFonts w:ascii="Times New Roman" w:hAnsi="Times New Roman"/>
          <w:color w:val="000000"/>
          <w:sz w:val="24"/>
          <w:szCs w:val="24"/>
          <w:lang w:val="sq-AL"/>
        </w:rPr>
      </w:pPr>
      <w:r w:rsidRPr="00EA1CA4">
        <w:rPr>
          <w:rFonts w:ascii="Times New Roman" w:hAnsi="Times New Roman"/>
          <w:color w:val="000000"/>
          <w:sz w:val="24"/>
          <w:szCs w:val="24"/>
          <w:lang w:val="sq-AL"/>
        </w:rPr>
        <w:t xml:space="preserve">Departamenti Amerikan i Shëndetësisë dhe Shërbimeve Njerëzore. 2021. </w:t>
      </w:r>
      <w:r w:rsidRPr="00EA1CA4">
        <w:rPr>
          <w:rFonts w:ascii="Times New Roman" w:hAnsi="Times New Roman"/>
          <w:i/>
          <w:iCs/>
          <w:color w:val="000000"/>
          <w:sz w:val="24"/>
          <w:szCs w:val="24"/>
          <w:lang w:val="sq-AL"/>
        </w:rPr>
        <w:t>Plani Strategjik Kombëtar për HIV për Shtetet e Bashkuara: Një udhërrëfyes për t'i dhënë fund epidemisë 2021–2025</w:t>
      </w:r>
      <w:r w:rsidRPr="00EA1CA4">
        <w:rPr>
          <w:rFonts w:ascii="Times New Roman" w:hAnsi="Times New Roman"/>
          <w:color w:val="000000"/>
          <w:sz w:val="24"/>
          <w:szCs w:val="24"/>
          <w:lang w:val="sq-AL"/>
        </w:rPr>
        <w:t>. Uashington DC.</w:t>
      </w:r>
    </w:p>
    <w:p w:rsidR="00DA78D3" w:rsidRPr="00EA1CA4" w:rsidRDefault="00D75ED6">
      <w:pPr>
        <w:pStyle w:val="ListParagraph"/>
        <w:numPr>
          <w:ilvl w:val="0"/>
          <w:numId w:val="28"/>
        </w:numPr>
        <w:spacing w:line="276" w:lineRule="auto"/>
        <w:rPr>
          <w:rFonts w:ascii="Times New Roman" w:hAnsi="Times New Roman"/>
          <w:sz w:val="24"/>
          <w:szCs w:val="24"/>
          <w:lang w:val="sq-AL"/>
        </w:rPr>
      </w:pPr>
      <w:hyperlink r:id="rId13" w:history="1">
        <w:r w:rsidR="00DA78D3" w:rsidRPr="00EA1CA4">
          <w:rPr>
            <w:rStyle w:val="Hyperlink"/>
            <w:rFonts w:ascii="Times New Roman" w:hAnsi="Times New Roman"/>
            <w:sz w:val="24"/>
            <w:szCs w:val="24"/>
            <w:lang w:val="sq-AL"/>
          </w:rPr>
          <w:t>file:///C:/Users/ThinkPad/Downloads/download.htm</w:t>
        </w:r>
      </w:hyperlink>
      <w:r w:rsidR="00DA78D3" w:rsidRPr="00EA1CA4">
        <w:rPr>
          <w:rStyle w:val="Hyperlink"/>
          <w:rFonts w:ascii="Times New Roman" w:hAnsi="Times New Roman"/>
          <w:sz w:val="24"/>
          <w:szCs w:val="24"/>
          <w:lang w:val="sq-AL"/>
        </w:rPr>
        <w:t xml:space="preserve"> </w:t>
      </w:r>
      <w:r w:rsidR="00DA78D3" w:rsidRPr="00EA1CA4">
        <w:rPr>
          <w:rFonts w:ascii="Times New Roman" w:hAnsi="Times New Roman"/>
          <w:sz w:val="24"/>
          <w:szCs w:val="24"/>
          <w:lang w:val="sq-AL"/>
        </w:rPr>
        <w:t>Një pasqyrë e sistemit të kujdesit shëndetësor në Kosovë. Kujdesi shëndetësor parësor në Kosovë: vlerësim i shpejtë. Korniza Evropiane e OBSH-së 2019 për Ofrimin e Shërbimeve të Integruara Shëndetësore</w:t>
      </w:r>
    </w:p>
    <w:p w:rsidR="00DA78D3" w:rsidRPr="00EA1CA4" w:rsidRDefault="00DA78D3">
      <w:pPr>
        <w:pStyle w:val="ListParagraph"/>
        <w:numPr>
          <w:ilvl w:val="0"/>
          <w:numId w:val="28"/>
        </w:numPr>
        <w:spacing w:line="276" w:lineRule="auto"/>
        <w:rPr>
          <w:rFonts w:ascii="Times New Roman" w:hAnsi="Times New Roman"/>
          <w:sz w:val="24"/>
          <w:szCs w:val="24"/>
          <w:lang w:val="sq-AL"/>
        </w:rPr>
      </w:pPr>
      <w:r w:rsidRPr="00EA1CA4">
        <w:rPr>
          <w:rFonts w:ascii="Times New Roman" w:hAnsi="Times New Roman"/>
          <w:i/>
          <w:sz w:val="24"/>
          <w:szCs w:val="24"/>
          <w:lang w:val="sq-AL"/>
        </w:rPr>
        <w:t xml:space="preserve">Strategjia e Qeverisë për Bashkëpunim me Shoqërinë Civile 2019-2023, </w:t>
      </w:r>
      <w:r w:rsidRPr="00EA1CA4">
        <w:rPr>
          <w:rFonts w:ascii="Times New Roman" w:hAnsi="Times New Roman"/>
          <w:sz w:val="24"/>
          <w:szCs w:val="24"/>
          <w:lang w:val="sq-AL"/>
        </w:rPr>
        <w:t xml:space="preserve">Qeveria e Kosovës, 2019. </w:t>
      </w:r>
      <w:hyperlink r:id="rId14" w:history="1">
        <w:r w:rsidRPr="00EA1CA4">
          <w:rPr>
            <w:rStyle w:val="Hyperlink"/>
            <w:rFonts w:ascii="Times New Roman" w:hAnsi="Times New Roman"/>
            <w:sz w:val="24"/>
            <w:szCs w:val="24"/>
            <w:lang w:val="sq-AL"/>
          </w:rPr>
          <w:t>http://www.civikos.net/repository/docs/Strategy_eng_291507.pdf</w:t>
        </w:r>
      </w:hyperlink>
    </w:p>
    <w:p w:rsidR="00DA78D3" w:rsidRPr="00EA1CA4" w:rsidRDefault="00DA78D3">
      <w:pPr>
        <w:pStyle w:val="ListParagraph"/>
        <w:numPr>
          <w:ilvl w:val="0"/>
          <w:numId w:val="28"/>
        </w:numPr>
        <w:spacing w:line="276" w:lineRule="auto"/>
        <w:rPr>
          <w:rFonts w:ascii="Times New Roman" w:hAnsi="Times New Roman"/>
          <w:sz w:val="24"/>
          <w:szCs w:val="24"/>
          <w:lang w:val="sq-AL"/>
        </w:rPr>
      </w:pPr>
      <w:r w:rsidRPr="00EA1CA4">
        <w:rPr>
          <w:rFonts w:ascii="Times New Roman" w:hAnsi="Times New Roman"/>
          <w:sz w:val="24"/>
          <w:szCs w:val="24"/>
          <w:lang w:val="sq-AL"/>
        </w:rPr>
        <w:t>AGTSH në Kosovë 2019-2020 dhe AGTSH 2019-2020 me komunitetet Romë, Ashkali dhe Egjiptian në Kosovë.  Pasqyrë statistikore. UNICEF</w:t>
      </w:r>
    </w:p>
    <w:p w:rsidR="00DA78D3" w:rsidRPr="00EA1CA4" w:rsidRDefault="00DA78D3">
      <w:pPr>
        <w:pStyle w:val="ListParagraph"/>
        <w:numPr>
          <w:ilvl w:val="0"/>
          <w:numId w:val="28"/>
        </w:numPr>
        <w:spacing w:line="276" w:lineRule="auto"/>
        <w:rPr>
          <w:rFonts w:ascii="Times New Roman" w:hAnsi="Times New Roman"/>
          <w:sz w:val="24"/>
          <w:szCs w:val="24"/>
          <w:lang w:val="sq-AL"/>
        </w:rPr>
      </w:pPr>
      <w:r w:rsidRPr="00EA1CA4">
        <w:rPr>
          <w:rFonts w:ascii="Times New Roman" w:hAnsi="Times New Roman"/>
          <w:sz w:val="24"/>
          <w:szCs w:val="24"/>
          <w:lang w:val="sq-AL"/>
        </w:rPr>
        <w:t xml:space="preserve">AGTSH në Kosovë 2019-2020 dhe AGTSH 2019-2020 me komunitetet Romë, Ashkali dhe Egjiptian në Kosovë.  </w:t>
      </w:r>
    </w:p>
    <w:p w:rsidR="00DA78D3" w:rsidRPr="00EA1CA4" w:rsidRDefault="00DA78D3">
      <w:pPr>
        <w:pStyle w:val="ListParagraph"/>
        <w:numPr>
          <w:ilvl w:val="0"/>
          <w:numId w:val="28"/>
        </w:numPr>
        <w:spacing w:line="276" w:lineRule="auto"/>
        <w:rPr>
          <w:rFonts w:ascii="Times New Roman" w:hAnsi="Times New Roman"/>
          <w:sz w:val="24"/>
          <w:szCs w:val="24"/>
          <w:lang w:val="sq-AL"/>
        </w:rPr>
      </w:pPr>
      <w:r w:rsidRPr="00EA1CA4">
        <w:rPr>
          <w:rFonts w:ascii="Times New Roman" w:hAnsi="Times New Roman"/>
          <w:sz w:val="24"/>
          <w:szCs w:val="24"/>
          <w:lang w:val="sq-AL"/>
        </w:rPr>
        <w:t>Raporti i plotë</w:t>
      </w:r>
      <w:r w:rsidR="00D6333D" w:rsidRPr="00EA1CA4">
        <w:rPr>
          <w:rFonts w:ascii="Times New Roman" w:hAnsi="Times New Roman"/>
          <w:sz w:val="24"/>
          <w:szCs w:val="24"/>
          <w:lang w:val="sq-AL"/>
        </w:rPr>
        <w:t xml:space="preserve"> </w:t>
      </w:r>
      <w:hyperlink r:id="rId15" w:history="1">
        <w:r w:rsidRPr="00EA1CA4">
          <w:rPr>
            <w:rStyle w:val="Hyperlink"/>
            <w:rFonts w:ascii="Times New Roman" w:hAnsi="Times New Roman"/>
            <w:sz w:val="24"/>
            <w:szCs w:val="24"/>
            <w:lang w:val="sq-AL"/>
          </w:rPr>
          <w:t>https://www.unicef.org/kosovoprogramme/media/1871/file/Kosovo%20AGTSH%202020.pdf</w:t>
        </w:r>
      </w:hyperlink>
    </w:p>
    <w:p w:rsidR="00DA78D3" w:rsidRPr="00EA1CA4" w:rsidRDefault="00DA78D3">
      <w:pPr>
        <w:pStyle w:val="ListParagraph"/>
        <w:numPr>
          <w:ilvl w:val="0"/>
          <w:numId w:val="28"/>
        </w:numPr>
        <w:spacing w:line="276" w:lineRule="auto"/>
        <w:rPr>
          <w:rFonts w:ascii="Times New Roman" w:hAnsi="Times New Roman"/>
          <w:sz w:val="24"/>
          <w:szCs w:val="24"/>
          <w:lang w:val="sq-AL"/>
        </w:rPr>
      </w:pPr>
      <w:r w:rsidRPr="00EA1CA4">
        <w:rPr>
          <w:rFonts w:ascii="Times New Roman" w:hAnsi="Times New Roman"/>
          <w:sz w:val="24"/>
          <w:szCs w:val="24"/>
          <w:lang w:val="sq-AL"/>
        </w:rPr>
        <w:t xml:space="preserve">Plani Kombëtar i Veprimit Strategjik për HIV/AIDS për Kosovën. 2018-2022. Zhvilluar përmes mbështetjes financiare nga Fondi Global në 2017. Nuk është miratuar nga Qeveria. </w:t>
      </w:r>
    </w:p>
    <w:p w:rsidR="00DA78D3" w:rsidRPr="00EA1CA4" w:rsidRDefault="00DA78D3">
      <w:pPr>
        <w:pStyle w:val="ListParagraph"/>
        <w:numPr>
          <w:ilvl w:val="0"/>
          <w:numId w:val="28"/>
        </w:numPr>
        <w:spacing w:line="276" w:lineRule="auto"/>
        <w:rPr>
          <w:rFonts w:ascii="Times New Roman" w:hAnsi="Times New Roman"/>
          <w:color w:val="000000"/>
          <w:sz w:val="24"/>
          <w:szCs w:val="24"/>
          <w:lang w:val="sq-AL"/>
        </w:rPr>
      </w:pPr>
      <w:r w:rsidRPr="00EA1CA4">
        <w:rPr>
          <w:rFonts w:ascii="Times New Roman" w:hAnsi="Times New Roman"/>
          <w:color w:val="000000"/>
          <w:sz w:val="24"/>
          <w:szCs w:val="24"/>
          <w:lang w:val="sq-AL"/>
        </w:rPr>
        <w:t>Analiza e financimit publik për organizatat e shoqërisë civile që ofrojnë shërbime për HIV në Kosovë. Një Vlerësim i Situatës dhe Udhërrëfyes për Progresin; Mars 2019 Shëndetësi APMG.  Autorët: Danielle Parsons, Amir Haxhikadrija, Haley Falkenberry, Dafina Gexha-Bunjaku.</w:t>
      </w:r>
    </w:p>
    <w:p w:rsidR="00DA78D3" w:rsidRPr="00EA1CA4" w:rsidRDefault="00DA78D3">
      <w:pPr>
        <w:pStyle w:val="ListParagraph"/>
        <w:numPr>
          <w:ilvl w:val="0"/>
          <w:numId w:val="28"/>
        </w:numPr>
        <w:spacing w:line="276" w:lineRule="auto"/>
        <w:rPr>
          <w:rFonts w:ascii="Times New Roman" w:hAnsi="Times New Roman"/>
          <w:color w:val="000000"/>
          <w:sz w:val="24"/>
          <w:szCs w:val="24"/>
          <w:lang w:val="sq-AL"/>
        </w:rPr>
      </w:pPr>
      <w:r w:rsidRPr="00EA1CA4">
        <w:rPr>
          <w:rFonts w:ascii="Times New Roman" w:hAnsi="Times New Roman"/>
          <w:color w:val="000000"/>
          <w:sz w:val="24"/>
          <w:szCs w:val="24"/>
          <w:lang w:val="sq-AL"/>
        </w:rPr>
        <w:t xml:space="preserve">Alban Muriqi and Albert Avdiu, KRCT. TË DREJTAT E NJERIUT NË INSTITUCIONET KORREKTUESE TË KOSOVËS Raporti i monitorimit 2019 - 2020 Monitorimi i të drejtave të njeriut në institucionet korrektuese mbështetet nga: SIGRID RAUSING TRUST </w:t>
      </w:r>
      <w:hyperlink r:id="rId16" w:history="1">
        <w:r w:rsidRPr="00EA1CA4">
          <w:rPr>
            <w:rStyle w:val="Hyperlink"/>
            <w:rFonts w:ascii="Times New Roman" w:hAnsi="Times New Roman"/>
            <w:sz w:val="24"/>
            <w:szCs w:val="24"/>
            <w:lang w:val="sq-AL"/>
          </w:rPr>
          <w:t>http://krct.org/fajllat/uploads/2020/12/Monitoring-Report-2020-2.pdf</w:t>
        </w:r>
      </w:hyperlink>
    </w:p>
    <w:p w:rsidR="00DA78D3" w:rsidRPr="00EA1CA4" w:rsidRDefault="00DA78D3">
      <w:pPr>
        <w:pStyle w:val="ListParagraph"/>
        <w:numPr>
          <w:ilvl w:val="0"/>
          <w:numId w:val="28"/>
        </w:numPr>
        <w:spacing w:line="276" w:lineRule="auto"/>
        <w:rPr>
          <w:rFonts w:ascii="Times New Roman" w:hAnsi="Times New Roman"/>
          <w:color w:val="000000"/>
          <w:sz w:val="24"/>
          <w:szCs w:val="24"/>
          <w:lang w:val="sq-AL"/>
        </w:rPr>
      </w:pPr>
      <w:r w:rsidRPr="00EA1CA4">
        <w:rPr>
          <w:rFonts w:ascii="Times New Roman" w:hAnsi="Times New Roman"/>
          <w:color w:val="000000"/>
          <w:sz w:val="24"/>
          <w:szCs w:val="24"/>
          <w:lang w:val="sq-AL"/>
        </w:rPr>
        <w:lastRenderedPageBreak/>
        <w:t xml:space="preserve">PLANI I TRANZICIONIT DHE TË QËNDRUESHMËRISË për HIV &amp; TB për Kosovën. 2021-2024. Përgatitur nga MSH e Kosovës përmes mbështetjes teknike nga Fondi Global. shtator 2021. </w:t>
      </w:r>
    </w:p>
    <w:p w:rsidR="00DA78D3" w:rsidRPr="00EA1CA4" w:rsidRDefault="00DA78D3">
      <w:pPr>
        <w:pStyle w:val="ListParagraph"/>
        <w:numPr>
          <w:ilvl w:val="0"/>
          <w:numId w:val="28"/>
        </w:numPr>
        <w:spacing w:line="276" w:lineRule="auto"/>
        <w:rPr>
          <w:rFonts w:ascii="Times New Roman" w:hAnsi="Times New Roman"/>
          <w:sz w:val="24"/>
          <w:szCs w:val="24"/>
          <w:lang w:val="sq-AL"/>
        </w:rPr>
      </w:pPr>
      <w:r w:rsidRPr="00EA1CA4">
        <w:rPr>
          <w:rFonts w:ascii="Times New Roman" w:hAnsi="Times New Roman"/>
          <w:sz w:val="24"/>
          <w:szCs w:val="24"/>
          <w:lang w:val="sq-AL"/>
        </w:rPr>
        <w:t>Kërkesë për financim të plotë për Mekanizmin e Reagimit nga Fondi Global Covid-19 (C19RM). 1 prill 2021 – 31 dhjetor 2023. FZHK. Kosova. Dërguar më 15 qershor 2021</w:t>
      </w:r>
    </w:p>
    <w:p w:rsidR="00DA78D3" w:rsidRPr="00EA1CA4" w:rsidRDefault="00DA78D3">
      <w:pPr>
        <w:pStyle w:val="ListParagraph"/>
        <w:numPr>
          <w:ilvl w:val="0"/>
          <w:numId w:val="28"/>
        </w:numPr>
        <w:spacing w:line="276" w:lineRule="auto"/>
        <w:rPr>
          <w:rFonts w:ascii="Times New Roman" w:hAnsi="Times New Roman"/>
          <w:color w:val="000000"/>
          <w:sz w:val="24"/>
          <w:szCs w:val="24"/>
          <w:lang w:val="sq-AL"/>
        </w:rPr>
      </w:pPr>
      <w:r w:rsidRPr="00EA1CA4">
        <w:rPr>
          <w:rFonts w:ascii="Times New Roman" w:hAnsi="Times New Roman"/>
          <w:color w:val="000000"/>
          <w:sz w:val="24"/>
          <w:szCs w:val="24"/>
          <w:lang w:val="sq-AL"/>
        </w:rPr>
        <w:t>Alban Krasniqi Raport mbi Hartëzimin Ligjor lidhur me HIV/AIDS. FZHK. Prishtinë 2020</w:t>
      </w:r>
    </w:p>
    <w:p w:rsidR="00DA78D3" w:rsidRPr="00EA1CA4" w:rsidRDefault="00DA78D3">
      <w:pPr>
        <w:pStyle w:val="ListParagraph"/>
        <w:numPr>
          <w:ilvl w:val="0"/>
          <w:numId w:val="28"/>
        </w:numPr>
        <w:spacing w:line="276" w:lineRule="auto"/>
        <w:rPr>
          <w:rFonts w:ascii="Times New Roman" w:hAnsi="Times New Roman"/>
          <w:color w:val="000000"/>
          <w:sz w:val="24"/>
          <w:szCs w:val="24"/>
          <w:lang w:val="sq-AL"/>
        </w:rPr>
      </w:pPr>
      <w:r w:rsidRPr="00EA1CA4">
        <w:rPr>
          <w:rFonts w:ascii="Times New Roman" w:hAnsi="Times New Roman"/>
          <w:color w:val="000000"/>
          <w:sz w:val="24"/>
          <w:szCs w:val="24"/>
          <w:lang w:val="sq-AL"/>
        </w:rPr>
        <w:t>Vlerësimi i gatishmërisë për tranzicion të programeve të Kosovës për HIV dhe TB, Fondacioni Ndërkombëtar Curatio, 2017</w:t>
      </w:r>
    </w:p>
    <w:p w:rsidR="00DA78D3" w:rsidRPr="00EA1CA4" w:rsidRDefault="00DA78D3">
      <w:pPr>
        <w:pStyle w:val="ListParagraph"/>
        <w:numPr>
          <w:ilvl w:val="0"/>
          <w:numId w:val="28"/>
        </w:numPr>
        <w:spacing w:line="276" w:lineRule="auto"/>
        <w:rPr>
          <w:rFonts w:ascii="Times New Roman" w:hAnsi="Times New Roman"/>
          <w:sz w:val="24"/>
          <w:szCs w:val="24"/>
          <w:lang w:val="sq-AL"/>
        </w:rPr>
      </w:pPr>
      <w:r w:rsidRPr="00EA1CA4">
        <w:rPr>
          <w:rFonts w:ascii="Times New Roman" w:hAnsi="Times New Roman"/>
          <w:sz w:val="24"/>
          <w:szCs w:val="24"/>
          <w:lang w:val="sq-AL"/>
        </w:rPr>
        <w:t>Peizazhi i financimit të Kosovës. Dorëzuar në Fondin Global 24.08.2021</w:t>
      </w:r>
    </w:p>
    <w:p w:rsidR="00DA78D3" w:rsidRPr="00EA1CA4" w:rsidRDefault="00DA78D3">
      <w:pPr>
        <w:pStyle w:val="ListParagraph"/>
        <w:numPr>
          <w:ilvl w:val="0"/>
          <w:numId w:val="28"/>
        </w:numPr>
        <w:spacing w:line="276" w:lineRule="auto"/>
        <w:rPr>
          <w:rFonts w:ascii="Times New Roman" w:hAnsi="Times New Roman"/>
          <w:color w:val="000000"/>
          <w:sz w:val="24"/>
          <w:szCs w:val="24"/>
          <w:lang w:val="sq-AL"/>
        </w:rPr>
      </w:pPr>
      <w:r w:rsidRPr="00EA1CA4">
        <w:rPr>
          <w:rFonts w:ascii="Times New Roman" w:hAnsi="Times New Roman"/>
          <w:color w:val="000000"/>
          <w:sz w:val="24"/>
          <w:szCs w:val="24"/>
          <w:lang w:val="sq-AL"/>
        </w:rPr>
        <w:t>Propozimi i shtetit të Kosovës për Fondin Global. Kërkesa për financim të tranzicionit 2022-2024. Ministria e Shëndetësisë së Kosovës. 2020</w:t>
      </w:r>
    </w:p>
    <w:p w:rsidR="00DA78D3" w:rsidRPr="00EA1CA4" w:rsidRDefault="00DA78D3">
      <w:pPr>
        <w:pStyle w:val="ListParagraph"/>
        <w:numPr>
          <w:ilvl w:val="0"/>
          <w:numId w:val="28"/>
        </w:numPr>
        <w:spacing w:line="276" w:lineRule="auto"/>
        <w:rPr>
          <w:rFonts w:ascii="Times New Roman" w:hAnsi="Times New Roman"/>
          <w:color w:val="000000"/>
          <w:sz w:val="24"/>
          <w:szCs w:val="24"/>
          <w:lang w:val="sq-AL"/>
        </w:rPr>
      </w:pPr>
      <w:r w:rsidRPr="00EA1CA4">
        <w:rPr>
          <w:rFonts w:ascii="Times New Roman" w:hAnsi="Times New Roman"/>
          <w:color w:val="000000"/>
          <w:sz w:val="24"/>
          <w:szCs w:val="24"/>
          <w:lang w:val="sq-AL"/>
        </w:rPr>
        <w:t>Korniza e Performancës për Grantin e Tranzicionit të Fondit Global 2022-2024. (excel file: QNA_C_FZHK_PF_Aug 11_FZHK)</w:t>
      </w:r>
    </w:p>
    <w:p w:rsidR="00DA78D3" w:rsidRPr="00EA1CA4" w:rsidRDefault="00DA78D3">
      <w:pPr>
        <w:pStyle w:val="ListParagraph"/>
        <w:numPr>
          <w:ilvl w:val="0"/>
          <w:numId w:val="28"/>
        </w:numPr>
        <w:spacing w:line="276" w:lineRule="auto"/>
        <w:rPr>
          <w:rFonts w:ascii="Times New Roman" w:hAnsi="Times New Roman"/>
          <w:sz w:val="24"/>
          <w:szCs w:val="24"/>
          <w:lang w:val="sq-AL"/>
        </w:rPr>
      </w:pPr>
      <w:r w:rsidRPr="00EA1CA4">
        <w:rPr>
          <w:rFonts w:ascii="Times New Roman" w:hAnsi="Times New Roman"/>
          <w:sz w:val="24"/>
          <w:szCs w:val="24"/>
          <w:lang w:val="sq-AL"/>
        </w:rPr>
        <w:t xml:space="preserve">Përgjigjet e Ministrisë së Shëndetësisë së Kosovës ndaj rekomandimeve të PRT të lëshuara në përgjigje të propozimit të grantit të vendit për tranzicionin për HIV/TB të dorëzuar në FG në 2020. </w:t>
      </w:r>
    </w:p>
    <w:p w:rsidR="00DA78D3" w:rsidRPr="00EA1CA4" w:rsidRDefault="00DA78D3">
      <w:pPr>
        <w:pStyle w:val="ListParagraph"/>
        <w:numPr>
          <w:ilvl w:val="0"/>
          <w:numId w:val="28"/>
        </w:numPr>
        <w:spacing w:line="276" w:lineRule="auto"/>
        <w:rPr>
          <w:rFonts w:ascii="Times New Roman" w:hAnsi="Times New Roman"/>
          <w:sz w:val="24"/>
          <w:szCs w:val="24"/>
          <w:lang w:val="sq-AL"/>
        </w:rPr>
      </w:pPr>
      <w:r w:rsidRPr="00EA1CA4">
        <w:rPr>
          <w:rFonts w:ascii="Times New Roman" w:hAnsi="Times New Roman"/>
          <w:sz w:val="24"/>
          <w:szCs w:val="24"/>
          <w:lang w:val="sq-AL"/>
        </w:rPr>
        <w:t xml:space="preserve">Strategjia FUNDIT për TB, OBSH. </w:t>
      </w:r>
    </w:p>
    <w:p w:rsidR="00DA78D3" w:rsidRPr="00EA1CA4" w:rsidRDefault="00DA78D3">
      <w:pPr>
        <w:pStyle w:val="ListParagraph"/>
        <w:numPr>
          <w:ilvl w:val="0"/>
          <w:numId w:val="28"/>
        </w:numPr>
        <w:spacing w:line="276" w:lineRule="auto"/>
        <w:rPr>
          <w:rFonts w:ascii="Times New Roman" w:hAnsi="Times New Roman"/>
          <w:sz w:val="24"/>
          <w:szCs w:val="24"/>
          <w:lang w:val="sq-AL"/>
        </w:rPr>
      </w:pPr>
      <w:r w:rsidRPr="00EA1CA4">
        <w:rPr>
          <w:rFonts w:ascii="Times New Roman" w:hAnsi="Times New Roman"/>
          <w:sz w:val="24"/>
          <w:szCs w:val="24"/>
          <w:lang w:val="sq-AL"/>
        </w:rPr>
        <w:t>OBSH. Përmbledhje e raportit përfundimtar për zbatimin e Planit të Veprimit për Tuberkulozin për Rajonin Evropian të OBSH-së 2016-2020. BER/RC&amp;)/8(N) Komiteti Rajonal për Evropë sesioni i 70-të</w:t>
      </w:r>
    </w:p>
    <w:p w:rsidR="00DA78D3" w:rsidRPr="00EA1CA4" w:rsidRDefault="00D75ED6">
      <w:pPr>
        <w:pStyle w:val="ListParagraph"/>
        <w:numPr>
          <w:ilvl w:val="0"/>
          <w:numId w:val="28"/>
        </w:numPr>
        <w:spacing w:line="276" w:lineRule="auto"/>
        <w:rPr>
          <w:rFonts w:ascii="Times New Roman" w:hAnsi="Times New Roman"/>
          <w:sz w:val="24"/>
          <w:szCs w:val="24"/>
          <w:lang w:val="sq-AL"/>
        </w:rPr>
      </w:pPr>
      <w:hyperlink r:id="rId17" w:history="1">
        <w:r w:rsidR="00DA78D3" w:rsidRPr="00EA1CA4">
          <w:rPr>
            <w:rStyle w:val="Hyperlink"/>
            <w:rFonts w:ascii="Times New Roman" w:hAnsi="Times New Roman"/>
            <w:sz w:val="24"/>
            <w:szCs w:val="24"/>
            <w:lang w:val="sq-AL"/>
          </w:rPr>
          <w:t>https://apps.OBSH.int/iris/bitstream/handle/10665/333854/70wd08e-N-PR-TBActionPlan-200642.pdf?sequence=1&amp;isAllowed=y</w:t>
        </w:r>
      </w:hyperlink>
    </w:p>
    <w:p w:rsidR="00DA78D3" w:rsidRPr="00EA1CA4" w:rsidRDefault="00DA78D3">
      <w:pPr>
        <w:pStyle w:val="ListParagraph"/>
        <w:numPr>
          <w:ilvl w:val="0"/>
          <w:numId w:val="28"/>
        </w:numPr>
        <w:spacing w:line="276" w:lineRule="auto"/>
        <w:rPr>
          <w:rFonts w:ascii="Times New Roman" w:hAnsi="Times New Roman"/>
          <w:sz w:val="24"/>
          <w:szCs w:val="24"/>
          <w:lang w:val="sq-AL"/>
        </w:rPr>
      </w:pPr>
      <w:r w:rsidRPr="00EA1CA4">
        <w:rPr>
          <w:rFonts w:ascii="Times New Roman" w:hAnsi="Times New Roman"/>
          <w:sz w:val="24"/>
          <w:szCs w:val="24"/>
          <w:lang w:val="sq-AL"/>
        </w:rPr>
        <w:t>Zyra rajonale e OBSH për Evropë. Plani i veprimit i OBSH-së për TB për Rajonin e BE-së. 2016–2020</w:t>
      </w:r>
    </w:p>
    <w:p w:rsidR="00DA78D3" w:rsidRPr="00EA1CA4" w:rsidRDefault="00D75ED6">
      <w:pPr>
        <w:pStyle w:val="ListParagraph"/>
        <w:numPr>
          <w:ilvl w:val="0"/>
          <w:numId w:val="28"/>
        </w:numPr>
        <w:autoSpaceDE w:val="0"/>
        <w:autoSpaceDN w:val="0"/>
        <w:adjustRightInd w:val="0"/>
        <w:spacing w:line="276" w:lineRule="auto"/>
        <w:rPr>
          <w:rFonts w:ascii="Times New Roman" w:hAnsi="Times New Roman"/>
          <w:sz w:val="24"/>
          <w:szCs w:val="24"/>
          <w:lang w:val="sq-AL"/>
        </w:rPr>
      </w:pPr>
      <w:hyperlink r:id="rId18" w:history="1">
        <w:r w:rsidR="00DA78D3" w:rsidRPr="00EA1CA4">
          <w:rPr>
            <w:rStyle w:val="Hyperlink"/>
            <w:rFonts w:ascii="Times New Roman" w:hAnsi="Times New Roman"/>
            <w:sz w:val="24"/>
            <w:szCs w:val="24"/>
            <w:lang w:val="sq-AL"/>
          </w:rPr>
          <w:t>https://www.BEro.OBSH.int/__data/assets/pdf_file/0007/283804/65wd17e_Rev1_TBActionPlan_150588_wiKSHTover.pdf</w:t>
        </w:r>
      </w:hyperlink>
    </w:p>
    <w:p w:rsidR="00DA78D3" w:rsidRPr="00EA1CA4" w:rsidRDefault="00DA78D3">
      <w:pPr>
        <w:pStyle w:val="ListParagraph"/>
        <w:numPr>
          <w:ilvl w:val="0"/>
          <w:numId w:val="28"/>
        </w:numPr>
        <w:spacing w:line="276" w:lineRule="auto"/>
        <w:rPr>
          <w:rFonts w:ascii="Times New Roman" w:hAnsi="Times New Roman"/>
          <w:color w:val="000000"/>
          <w:sz w:val="24"/>
          <w:szCs w:val="24"/>
          <w:lang w:val="sq-AL"/>
        </w:rPr>
      </w:pPr>
      <w:r w:rsidRPr="00EA1CA4">
        <w:rPr>
          <w:rFonts w:ascii="Times New Roman" w:hAnsi="Times New Roman"/>
          <w:color w:val="000000"/>
          <w:sz w:val="24"/>
          <w:szCs w:val="24"/>
          <w:lang w:val="sq-AL"/>
        </w:rPr>
        <w:t>Korniza e Monitorimit të TB. Plani i veprimit i OBSH-së për TB për Rajonin e BE-së 2021-2030</w:t>
      </w:r>
    </w:p>
    <w:p w:rsidR="00DA78D3" w:rsidRPr="00EA1CA4" w:rsidRDefault="00DA78D3">
      <w:pPr>
        <w:pStyle w:val="ListParagraph"/>
        <w:numPr>
          <w:ilvl w:val="0"/>
          <w:numId w:val="28"/>
        </w:numPr>
        <w:spacing w:line="276" w:lineRule="auto"/>
        <w:rPr>
          <w:rFonts w:ascii="Times New Roman" w:hAnsi="Times New Roman"/>
          <w:sz w:val="24"/>
          <w:szCs w:val="24"/>
          <w:lang w:val="sq-AL"/>
        </w:rPr>
      </w:pPr>
      <w:r w:rsidRPr="00EA1CA4">
        <w:rPr>
          <w:rFonts w:ascii="Times New Roman" w:hAnsi="Times New Roman"/>
          <w:sz w:val="24"/>
          <w:szCs w:val="24"/>
          <w:lang w:val="sq-AL"/>
        </w:rPr>
        <w:lastRenderedPageBreak/>
        <w:t xml:space="preserve">OBSH. Strategjia e Përfundimit të TB. Strategjia globale dhe objektivat për parandalimin, kujdesin dhe kontrollin e tuberkulozit pas vitit 2015. Teksti zyrtar i miratuar nga Asambleja e Gjashtëdhjetë e Shtatë Botërore e Shëndetësisë, maj 2014. </w:t>
      </w:r>
    </w:p>
    <w:p w:rsidR="00DA78D3" w:rsidRPr="00EA1CA4" w:rsidRDefault="00DA78D3">
      <w:pPr>
        <w:pStyle w:val="ListParagraph"/>
        <w:numPr>
          <w:ilvl w:val="0"/>
          <w:numId w:val="28"/>
        </w:numPr>
        <w:spacing w:line="276" w:lineRule="auto"/>
        <w:rPr>
          <w:rFonts w:ascii="Times New Roman" w:hAnsi="Times New Roman"/>
          <w:color w:val="000000"/>
          <w:sz w:val="24"/>
          <w:szCs w:val="24"/>
          <w:lang w:val="sq-AL"/>
        </w:rPr>
      </w:pPr>
      <w:r w:rsidRPr="00EA1CA4">
        <w:rPr>
          <w:rFonts w:ascii="Times New Roman" w:hAnsi="Times New Roman"/>
          <w:color w:val="000000"/>
          <w:sz w:val="24"/>
          <w:szCs w:val="24"/>
          <w:lang w:val="sq-AL"/>
        </w:rPr>
        <w:t>Vlerësimi i LFA i Programit Kombëtar të TB, 2020, Kosovë</w:t>
      </w:r>
    </w:p>
    <w:p w:rsidR="00DA78D3" w:rsidRPr="00EA1CA4" w:rsidRDefault="00DA78D3">
      <w:pPr>
        <w:pStyle w:val="ListParagraph"/>
        <w:numPr>
          <w:ilvl w:val="0"/>
          <w:numId w:val="28"/>
        </w:numPr>
        <w:spacing w:line="276" w:lineRule="auto"/>
        <w:rPr>
          <w:rFonts w:ascii="Times New Roman" w:hAnsi="Times New Roman"/>
          <w:color w:val="000000"/>
          <w:sz w:val="24"/>
          <w:szCs w:val="24"/>
          <w:lang w:val="sq-AL"/>
        </w:rPr>
      </w:pPr>
      <w:r w:rsidRPr="00EA1CA4">
        <w:rPr>
          <w:rFonts w:ascii="Times New Roman" w:hAnsi="Times New Roman"/>
          <w:color w:val="000000"/>
          <w:sz w:val="24"/>
          <w:szCs w:val="24"/>
          <w:lang w:val="sq-AL"/>
        </w:rPr>
        <w:t>Vlerësimi i Kapaciteteve të Ministrisë së Shëndetësisë – Seksioni M&amp;V. Investimi në institucionet e Kosovës. Nëntor 2019</w:t>
      </w:r>
    </w:p>
    <w:p w:rsidR="00DA78D3" w:rsidRPr="00EA1CA4" w:rsidRDefault="00DA78D3">
      <w:pPr>
        <w:pStyle w:val="ListParagraph"/>
        <w:numPr>
          <w:ilvl w:val="0"/>
          <w:numId w:val="28"/>
        </w:numPr>
        <w:spacing w:line="276" w:lineRule="auto"/>
        <w:rPr>
          <w:rFonts w:ascii="Times New Roman" w:hAnsi="Times New Roman"/>
          <w:color w:val="000000"/>
          <w:sz w:val="24"/>
          <w:szCs w:val="24"/>
          <w:lang w:val="sq-AL"/>
        </w:rPr>
      </w:pPr>
      <w:r w:rsidRPr="00EA1CA4">
        <w:rPr>
          <w:rFonts w:ascii="Times New Roman" w:hAnsi="Times New Roman"/>
          <w:color w:val="000000"/>
          <w:sz w:val="24"/>
          <w:szCs w:val="24"/>
          <w:lang w:val="sq-AL"/>
        </w:rPr>
        <w:t>Vlerësimet e Mjedisit Ligjor për Tuberkulozin. Një Udhëzues Operacional Korrik 2017 Partneriteti i UNDP STOP TB</w:t>
      </w:r>
    </w:p>
    <w:p w:rsidR="00DA78D3" w:rsidRPr="00EA1CA4" w:rsidRDefault="00DA78D3">
      <w:pPr>
        <w:pStyle w:val="ListParagraph"/>
        <w:numPr>
          <w:ilvl w:val="0"/>
          <w:numId w:val="28"/>
        </w:numPr>
        <w:spacing w:line="276" w:lineRule="auto"/>
        <w:rPr>
          <w:rFonts w:ascii="Times New Roman" w:hAnsi="Times New Roman"/>
          <w:color w:val="000000"/>
          <w:sz w:val="24"/>
          <w:szCs w:val="24"/>
          <w:lang w:val="sq-AL"/>
        </w:rPr>
      </w:pPr>
      <w:r w:rsidRPr="00EA1CA4">
        <w:rPr>
          <w:rFonts w:ascii="Times New Roman" w:hAnsi="Times New Roman"/>
          <w:color w:val="000000"/>
          <w:sz w:val="24"/>
          <w:szCs w:val="24"/>
          <w:lang w:val="sq-AL"/>
        </w:rPr>
        <w:t>Plani Strategjik Kombëtar për Kontrollin e TB-së në Kosovë. 2019-2021</w:t>
      </w:r>
    </w:p>
    <w:p w:rsidR="00DA78D3" w:rsidRPr="00EA1CA4" w:rsidRDefault="00DA78D3">
      <w:pPr>
        <w:pStyle w:val="ListParagraph"/>
        <w:numPr>
          <w:ilvl w:val="0"/>
          <w:numId w:val="28"/>
        </w:numPr>
        <w:spacing w:line="276" w:lineRule="auto"/>
        <w:rPr>
          <w:rStyle w:val="A0"/>
          <w:rFonts w:ascii="Times New Roman" w:hAnsi="Times New Roman"/>
          <w:sz w:val="24"/>
          <w:szCs w:val="24"/>
          <w:lang w:val="sq-AL"/>
        </w:rPr>
      </w:pPr>
      <w:r w:rsidRPr="00EA1CA4">
        <w:rPr>
          <w:rFonts w:ascii="Times New Roman" w:hAnsi="Times New Roman"/>
          <w:color w:val="000000"/>
          <w:sz w:val="24"/>
          <w:szCs w:val="24"/>
          <w:lang w:val="sq-AL"/>
        </w:rPr>
        <w:t>Plani i Monitorimit dhe Vlerësimit 2019-2021. Programi Kombëtar i Kosovës për TB. Prishtinë, Kosovë. Udhëzues i shpejtë për trajtimin e tuberkulozit të mbështetur me video. Kopenhagë: Zyra Rajonale e OBSH për Evrope; 2020. Licenca</w:t>
      </w:r>
      <w:r w:rsidRPr="00EA1CA4">
        <w:rPr>
          <w:rStyle w:val="A0"/>
          <w:rFonts w:ascii="Times New Roman" w:hAnsi="Times New Roman"/>
          <w:sz w:val="24"/>
          <w:szCs w:val="24"/>
          <w:lang w:val="sq-AL"/>
        </w:rPr>
        <w:t>: CC BY-NC-SA 3.0 IGO. ISBN 978 92 890 5522 2</w:t>
      </w:r>
    </w:p>
    <w:p w:rsidR="00DA78D3" w:rsidRPr="00EA1CA4" w:rsidRDefault="00DA78D3">
      <w:pPr>
        <w:pStyle w:val="ListParagraph"/>
        <w:numPr>
          <w:ilvl w:val="0"/>
          <w:numId w:val="28"/>
        </w:numPr>
        <w:spacing w:line="276" w:lineRule="auto"/>
        <w:rPr>
          <w:rStyle w:val="A0"/>
          <w:rFonts w:ascii="Times New Roman" w:hAnsi="Times New Roman"/>
          <w:sz w:val="24"/>
          <w:szCs w:val="24"/>
          <w:lang w:val="sq-AL"/>
        </w:rPr>
      </w:pPr>
      <w:r w:rsidRPr="00EA1CA4">
        <w:rPr>
          <w:rFonts w:ascii="Times New Roman" w:hAnsi="Times New Roman"/>
          <w:color w:val="000000"/>
          <w:sz w:val="24"/>
          <w:szCs w:val="24"/>
          <w:lang w:val="sq-AL"/>
        </w:rPr>
        <w:t>Plani Strategjik Kombëtar për Kontrollin e TB-së në Kosovë. 2018-2022. Ministria e Shëndetësisë së Kosovës. Përgatitur përmes mbështetjes financiare të FG. 2017. Kosovë</w:t>
      </w:r>
    </w:p>
    <w:p w:rsidR="00DA78D3" w:rsidRPr="00EA1CA4" w:rsidRDefault="00DA78D3">
      <w:pPr>
        <w:pStyle w:val="ListParagraph"/>
        <w:numPr>
          <w:ilvl w:val="0"/>
          <w:numId w:val="28"/>
        </w:numPr>
        <w:spacing w:line="276" w:lineRule="auto"/>
        <w:rPr>
          <w:rFonts w:ascii="Times New Roman" w:hAnsi="Times New Roman"/>
          <w:color w:val="4D4D4D"/>
          <w:sz w:val="24"/>
          <w:szCs w:val="24"/>
          <w:lang w:val="sq-AL"/>
        </w:rPr>
      </w:pPr>
      <w:r w:rsidRPr="00EA1CA4">
        <w:rPr>
          <w:rStyle w:val="Emphasis"/>
          <w:rFonts w:ascii="Times New Roman" w:hAnsi="Times New Roman"/>
          <w:iCs/>
          <w:color w:val="1A1A1A"/>
          <w:sz w:val="24"/>
          <w:szCs w:val="24"/>
          <w:lang w:val="sq-AL"/>
        </w:rPr>
        <w:t>Udhëzimet e Konsoliduara të OBSH-së për Tuberkulozin, Moduli 4: Trajtimi - Trajtimi i Tuberkulozit Rezistent ndaj Barnave ISBN</w:t>
      </w:r>
      <w:r w:rsidRPr="00EA1CA4">
        <w:rPr>
          <w:rStyle w:val="Strong"/>
          <w:rFonts w:ascii="Times New Roman" w:hAnsi="Times New Roman"/>
          <w:bCs/>
          <w:caps/>
          <w:color w:val="4D4D4D"/>
          <w:sz w:val="24"/>
          <w:szCs w:val="24"/>
          <w:lang w:val="sq-AL"/>
        </w:rPr>
        <w:t>: </w:t>
      </w:r>
      <w:r w:rsidRPr="00EA1CA4">
        <w:rPr>
          <w:rFonts w:ascii="Times New Roman" w:hAnsi="Times New Roman"/>
          <w:color w:val="4D4D4D"/>
          <w:sz w:val="24"/>
          <w:szCs w:val="24"/>
          <w:lang w:val="sq-AL"/>
        </w:rPr>
        <w:t xml:space="preserve">978 92 4 000704 8 </w:t>
      </w:r>
      <w:hyperlink r:id="rId19" w:history="1">
        <w:r w:rsidRPr="00EA1CA4">
          <w:rPr>
            <w:rStyle w:val="Hyperlink"/>
            <w:rFonts w:ascii="Times New Roman" w:hAnsi="Times New Roman"/>
            <w:sz w:val="24"/>
            <w:szCs w:val="24"/>
            <w:lang w:val="sq-AL"/>
          </w:rPr>
          <w:t>https://www.OBSH.int/publications/i/item/9789240007048</w:t>
        </w:r>
      </w:hyperlink>
    </w:p>
    <w:p w:rsidR="00DA78D3" w:rsidRPr="00EA1CA4" w:rsidRDefault="00DA78D3">
      <w:pPr>
        <w:pStyle w:val="ListParagraph"/>
        <w:numPr>
          <w:ilvl w:val="0"/>
          <w:numId w:val="28"/>
        </w:numPr>
        <w:spacing w:line="276" w:lineRule="auto"/>
        <w:rPr>
          <w:rStyle w:val="A0"/>
          <w:rFonts w:ascii="Times New Roman" w:hAnsi="Times New Roman"/>
          <w:sz w:val="24"/>
          <w:szCs w:val="24"/>
          <w:lang w:val="sq-AL"/>
        </w:rPr>
      </w:pPr>
      <w:r w:rsidRPr="00EA1CA4">
        <w:rPr>
          <w:rStyle w:val="A0"/>
          <w:rFonts w:ascii="Times New Roman" w:hAnsi="Times New Roman"/>
          <w:sz w:val="24"/>
          <w:szCs w:val="24"/>
          <w:lang w:val="sq-AL"/>
        </w:rPr>
        <w:t>Udhëzimet e konsoliduara të OBSH për tuberkulozin. Moduli 3: Diagnoza - Diagnostikimi i shpejtë për detektimin e tuberkulozit, përditësim 2021. ISBN 978-92-4-002941-5 (versioni elektronik).</w:t>
      </w:r>
      <w:hyperlink r:id="rId20" w:history="1">
        <w:r w:rsidRPr="00EA1CA4">
          <w:rPr>
            <w:rStyle w:val="Hyperlink"/>
            <w:rFonts w:ascii="Times New Roman" w:hAnsi="Times New Roman"/>
            <w:sz w:val="24"/>
            <w:szCs w:val="24"/>
            <w:lang w:val="sq-AL"/>
          </w:rPr>
          <w:t>https://www.OBSH.int/publications/i/item/9789240029415</w:t>
        </w:r>
      </w:hyperlink>
    </w:p>
    <w:p w:rsidR="00DA78D3" w:rsidRPr="00EA1CA4" w:rsidRDefault="00DA78D3">
      <w:pPr>
        <w:pStyle w:val="ListParagraph"/>
        <w:numPr>
          <w:ilvl w:val="0"/>
          <w:numId w:val="28"/>
        </w:numPr>
        <w:spacing w:line="276" w:lineRule="auto"/>
        <w:rPr>
          <w:rStyle w:val="A0"/>
          <w:rFonts w:ascii="Times New Roman" w:hAnsi="Times New Roman"/>
          <w:sz w:val="24"/>
          <w:szCs w:val="24"/>
          <w:lang w:val="sq-AL"/>
        </w:rPr>
      </w:pPr>
      <w:r w:rsidRPr="00EA1CA4">
        <w:rPr>
          <w:rFonts w:ascii="Times New Roman" w:hAnsi="Times New Roman"/>
          <w:iCs/>
          <w:sz w:val="24"/>
          <w:szCs w:val="24"/>
          <w:lang w:val="sq-AL"/>
        </w:rPr>
        <w:t xml:space="preserve">Standardet Ndërkombëtare për Kujdesin ndaj Tuberkulozit, Botimi 3 </w:t>
      </w:r>
      <w:r w:rsidRPr="00EA1CA4">
        <w:rPr>
          <w:rFonts w:ascii="Times New Roman" w:hAnsi="Times New Roman"/>
          <w:sz w:val="24"/>
          <w:szCs w:val="24"/>
          <w:lang w:val="sq-AL"/>
        </w:rPr>
        <w:t xml:space="preserve">(TB CARE I, 2014)  </w:t>
      </w:r>
    </w:p>
    <w:p w:rsidR="00DA78D3" w:rsidRPr="00EA1CA4" w:rsidRDefault="00DA78D3">
      <w:pPr>
        <w:pStyle w:val="ListParagraph"/>
        <w:numPr>
          <w:ilvl w:val="0"/>
          <w:numId w:val="28"/>
        </w:numPr>
        <w:spacing w:line="276" w:lineRule="auto"/>
        <w:rPr>
          <w:rStyle w:val="A0"/>
          <w:rFonts w:ascii="Times New Roman" w:hAnsi="Times New Roman"/>
          <w:sz w:val="24"/>
          <w:szCs w:val="24"/>
          <w:lang w:val="sq-AL"/>
        </w:rPr>
      </w:pPr>
      <w:r w:rsidRPr="00EA1CA4">
        <w:rPr>
          <w:rFonts w:ascii="Times New Roman" w:hAnsi="Times New Roman"/>
          <w:sz w:val="24"/>
          <w:szCs w:val="24"/>
          <w:lang w:val="sq-AL"/>
        </w:rPr>
        <w:t xml:space="preserve">Komisioni Evropian. DOKUMENTI I PUNËS SË STAFIT TË KOMISIONIT. Raporti i Kosovës 2020. Duka shoqëruar Komunikatën nga Komisioni për </w:t>
      </w:r>
      <w:r w:rsidRPr="00EA1CA4">
        <w:rPr>
          <w:rFonts w:ascii="Times New Roman" w:hAnsi="Times New Roman"/>
          <w:sz w:val="24"/>
          <w:szCs w:val="24"/>
          <w:lang w:val="sq-AL"/>
        </w:rPr>
        <w:lastRenderedPageBreak/>
        <w:t>Parlamentin Evropian, Këshilli, Komiteti Ekonomik dhe Social i BE-së dhe Komitetin e Rajoneve 2020. Komunikimi mbi Politikën e Zgjerimit të BE-së</w:t>
      </w:r>
      <w:hyperlink r:id="rId21" w:history="1">
        <w:r w:rsidRPr="00EA1CA4">
          <w:rPr>
            <w:rStyle w:val="Hyperlink"/>
            <w:rFonts w:ascii="Times New Roman" w:hAnsi="Times New Roman"/>
            <w:sz w:val="24"/>
            <w:szCs w:val="24"/>
            <w:lang w:val="sq-AL"/>
          </w:rPr>
          <w:t>https://KE.BEropa.BE/neighbourhood-enlargement/system/files/2020-10/kosovo_report_2020.pdf</w:t>
        </w:r>
      </w:hyperlink>
    </w:p>
    <w:p w:rsidR="00DA78D3" w:rsidRPr="00EA1CA4" w:rsidRDefault="00DA78D3">
      <w:pPr>
        <w:pStyle w:val="ListParagraph"/>
        <w:numPr>
          <w:ilvl w:val="0"/>
          <w:numId w:val="28"/>
        </w:numPr>
        <w:spacing w:line="276" w:lineRule="auto"/>
        <w:rPr>
          <w:rFonts w:ascii="Times New Roman" w:hAnsi="Times New Roman"/>
          <w:iCs/>
          <w:sz w:val="24"/>
          <w:szCs w:val="24"/>
          <w:lang w:val="sq-AL"/>
        </w:rPr>
      </w:pPr>
      <w:r w:rsidRPr="00EA1CA4">
        <w:rPr>
          <w:rFonts w:ascii="Times New Roman" w:hAnsi="Times New Roman"/>
          <w:iCs/>
          <w:sz w:val="24"/>
          <w:szCs w:val="24"/>
          <w:lang w:val="sq-AL"/>
        </w:rPr>
        <w:t>Tuberkulozi në Kosovë: analiza e ndikimit epidemiologjik. Zyra Rajonale e OBSH për Evropë. 2016</w:t>
      </w:r>
    </w:p>
    <w:p w:rsidR="00DA78D3" w:rsidRPr="00EA1CA4" w:rsidRDefault="00DA78D3">
      <w:pPr>
        <w:pStyle w:val="ListParagraph"/>
        <w:numPr>
          <w:ilvl w:val="0"/>
          <w:numId w:val="28"/>
        </w:numPr>
        <w:spacing w:line="276" w:lineRule="auto"/>
        <w:rPr>
          <w:rFonts w:ascii="Times New Roman" w:hAnsi="Times New Roman"/>
          <w:iCs/>
          <w:sz w:val="24"/>
          <w:szCs w:val="24"/>
          <w:lang w:val="sq-AL"/>
        </w:rPr>
      </w:pPr>
      <w:r w:rsidRPr="00EA1CA4">
        <w:rPr>
          <w:rFonts w:ascii="Times New Roman" w:hAnsi="Times New Roman"/>
          <w:iCs/>
          <w:sz w:val="24"/>
          <w:szCs w:val="24"/>
          <w:lang w:val="sq-AL"/>
        </w:rPr>
        <w:t>Raporti i Llogarisë Kombëtare të Shëndetit 2018</w:t>
      </w:r>
      <w:hyperlink r:id="rId22" w:history="1">
        <w:r w:rsidRPr="00EA1CA4">
          <w:rPr>
            <w:rStyle w:val="Hyperlink"/>
            <w:rFonts w:ascii="Times New Roman" w:hAnsi="Times New Roman"/>
            <w:sz w:val="24"/>
            <w:szCs w:val="24"/>
            <w:lang w:val="sq-AL"/>
          </w:rPr>
          <w:t>https://msh.rks-gov.net/sq/publikimet/raportet/</w:t>
        </w:r>
      </w:hyperlink>
    </w:p>
    <w:sectPr w:rsidR="00DA78D3" w:rsidRPr="00EA1CA4" w:rsidSect="002A5295">
      <w:pgSz w:w="12240" w:h="15840"/>
      <w:pgMar w:top="539" w:right="1043" w:bottom="1077" w:left="1276" w:header="720" w:footer="46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ED6" w:rsidRDefault="00D75ED6">
      <w:r>
        <w:separator/>
      </w:r>
    </w:p>
  </w:endnote>
  <w:endnote w:type="continuationSeparator" w:id="0">
    <w:p w:rsidR="00D75ED6" w:rsidRDefault="00D7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Arial"/>
    <w:panose1 w:val="020F0502020204030204"/>
    <w:charset w:val="00"/>
    <w:family w:val="swiss"/>
    <w:pitch w:val="variable"/>
    <w:sig w:usb0="E0002AFF" w:usb1="C000247B" w:usb2="00000009" w:usb3="00000000" w:csb0="000001FF" w:csb1="00000000"/>
  </w:font>
  <w:font w:name="La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CA4" w:rsidRDefault="00D75ED6">
    <w:pPr>
      <w:pStyle w:val="Footer"/>
      <w:jc w:val="right"/>
    </w:pPr>
    <w:r>
      <w:fldChar w:fldCharType="begin"/>
    </w:r>
    <w:r>
      <w:instrText xml:space="preserve"> PAGE   \* MERGEFORMAT </w:instrText>
    </w:r>
    <w:r>
      <w:fldChar w:fldCharType="separate"/>
    </w:r>
    <w:r w:rsidR="0042579D">
      <w:rPr>
        <w:noProof/>
      </w:rPr>
      <w:t>1</w:t>
    </w:r>
    <w:r>
      <w:rPr>
        <w:noProof/>
      </w:rPr>
      <w:fldChar w:fldCharType="end"/>
    </w:r>
  </w:p>
  <w:p w:rsidR="00EA1CA4" w:rsidRPr="00AD638E" w:rsidRDefault="00EA1CA4" w:rsidP="00124BB1">
    <w:pPr>
      <w:pStyle w:val="Footer"/>
      <w:ind w:right="360"/>
      <w:jc w:val="center"/>
      <w:rPr>
        <w:rFonts w:ascii="Book Antiqua" w:hAnsi="Book Antiqua" w:cs="Book Antiqua"/>
        <w:color w:val="80808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1AB" w:rsidRDefault="00D75ED6">
    <w:pPr>
      <w:pStyle w:val="Footer"/>
      <w:jc w:val="right"/>
    </w:pPr>
    <w:r>
      <w:fldChar w:fldCharType="begin"/>
    </w:r>
    <w:r>
      <w:instrText xml:space="preserve"> PAGE   \* MERGEFORMAT </w:instrText>
    </w:r>
    <w:r>
      <w:fldChar w:fldCharType="separate"/>
    </w:r>
    <w:r w:rsidR="00011A46">
      <w:rPr>
        <w:noProof/>
      </w:rPr>
      <w:t>7</w:t>
    </w:r>
    <w:r>
      <w:rPr>
        <w:noProof/>
      </w:rPr>
      <w:fldChar w:fldCharType="end"/>
    </w:r>
  </w:p>
  <w:p w:rsidR="00BE71AB" w:rsidRPr="00AD638E" w:rsidRDefault="00BE71AB" w:rsidP="00124BB1">
    <w:pPr>
      <w:pStyle w:val="Footer"/>
      <w:ind w:right="360"/>
      <w:jc w:val="center"/>
      <w:rPr>
        <w:rFonts w:ascii="Book Antiqua" w:hAnsi="Book Antiqua" w:cs="Book Antiqua"/>
        <w:color w:val="80808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ED6" w:rsidRDefault="00D75ED6">
      <w:r>
        <w:separator/>
      </w:r>
    </w:p>
  </w:footnote>
  <w:footnote w:type="continuationSeparator" w:id="0">
    <w:p w:rsidR="00D75ED6" w:rsidRDefault="00D75ED6">
      <w:r>
        <w:continuationSeparator/>
      </w:r>
    </w:p>
  </w:footnote>
  <w:footnote w:id="1">
    <w:p w:rsidR="00BE71AB" w:rsidRPr="00832EFD" w:rsidRDefault="00BE71AB">
      <w:pPr>
        <w:pStyle w:val="FootnoteText"/>
        <w:rPr>
          <w:rFonts w:ascii="Book Antiqua" w:hAnsi="Book Antiqua"/>
          <w:sz w:val="16"/>
          <w:szCs w:val="16"/>
        </w:rPr>
      </w:pPr>
      <w:r w:rsidRPr="00832EFD">
        <w:rPr>
          <w:rStyle w:val="FootnoteReference"/>
          <w:rFonts w:ascii="Book Antiqua" w:hAnsi="Book Antiqua"/>
          <w:sz w:val="16"/>
          <w:szCs w:val="16"/>
        </w:rPr>
        <w:footnoteRef/>
      </w:r>
      <w:hyperlink r:id="rId1" w:history="1">
        <w:r w:rsidRPr="00832EFD">
          <w:rPr>
            <w:rStyle w:val="Hyperlink"/>
            <w:rFonts w:ascii="Book Antiqua" w:hAnsi="Book Antiqua"/>
            <w:b/>
            <w:bCs/>
            <w:color w:val="004288"/>
            <w:sz w:val="16"/>
            <w:szCs w:val="16"/>
            <w:shd w:val="clear" w:color="auto" w:fill="FFFFFF"/>
          </w:rPr>
          <w:t>LIGJI Nr. 04/L-125 PËR SHËNDETËSI</w:t>
        </w:r>
      </w:hyperlink>
      <w:r w:rsidRPr="00832EFD">
        <w:rPr>
          <w:rStyle w:val="Hyperlink"/>
          <w:rFonts w:ascii="Book Antiqua" w:hAnsi="Book Antiqua"/>
          <w:b/>
          <w:bCs/>
          <w:color w:val="004288"/>
          <w:sz w:val="16"/>
          <w:szCs w:val="16"/>
          <w:shd w:val="clear" w:color="auto" w:fill="FFFFFF"/>
        </w:rPr>
        <w:t xml:space="preserve"> </w:t>
      </w:r>
      <w:hyperlink r:id="rId2" w:history="1">
        <w:r w:rsidRPr="00832EFD">
          <w:rPr>
            <w:rStyle w:val="Hyperlink"/>
            <w:rFonts w:ascii="Book Antiqua" w:hAnsi="Book Antiqua"/>
            <w:sz w:val="16"/>
            <w:szCs w:val="16"/>
          </w:rPr>
          <w:t>https://gzk.rks-gov.net/ActDetail.aspx?ActID=8666</w:t>
        </w:r>
      </w:hyperlink>
    </w:p>
  </w:footnote>
  <w:footnote w:id="2">
    <w:p w:rsidR="00BE71AB" w:rsidRPr="00832EFD" w:rsidRDefault="00BE71AB" w:rsidP="0029685B">
      <w:pPr>
        <w:pStyle w:val="FootnoteText"/>
        <w:rPr>
          <w:rFonts w:ascii="Book Antiqua" w:hAnsi="Book Antiqua"/>
          <w:sz w:val="16"/>
          <w:szCs w:val="16"/>
        </w:rPr>
      </w:pPr>
      <w:r w:rsidRPr="00832EFD">
        <w:rPr>
          <w:rStyle w:val="FootnoteReference"/>
          <w:rFonts w:ascii="Book Antiqua" w:hAnsi="Book Antiqua"/>
          <w:sz w:val="16"/>
          <w:szCs w:val="16"/>
        </w:rPr>
        <w:footnoteRef/>
      </w:r>
      <w:hyperlink r:id="rId3" w:history="1">
        <w:r w:rsidRPr="00832EFD">
          <w:rPr>
            <w:rStyle w:val="Hyperlink"/>
            <w:rFonts w:ascii="Book Antiqua" w:hAnsi="Book Antiqua"/>
            <w:sz w:val="16"/>
            <w:szCs w:val="16"/>
          </w:rPr>
          <w:t>http://www.stoptb.org/webadmin/cms/docs/Political-DKElaraion-on-the-Fight-against-Tuberculosis.pdf</w:t>
        </w:r>
      </w:hyperlink>
      <w:r w:rsidRPr="00832EFD">
        <w:rPr>
          <w:rFonts w:ascii="Book Antiqua" w:hAnsi="Book Antiqua"/>
          <w:sz w:val="16"/>
          <w:szCs w:val="16"/>
        </w:rPr>
        <w:t xml:space="preserve"> </w:t>
      </w:r>
    </w:p>
  </w:footnote>
  <w:footnote w:id="3">
    <w:p w:rsidR="00BE71AB" w:rsidRPr="00832EFD" w:rsidRDefault="00BE71AB" w:rsidP="00C92944">
      <w:pPr>
        <w:pStyle w:val="FootnoteText"/>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 xml:space="preserve">Objektivat e Zhvillimit të Qëndrueshëm: </w:t>
      </w:r>
      <w:hyperlink r:id="rId4" w:history="1">
        <w:r w:rsidRPr="00832EFD">
          <w:rPr>
            <w:rStyle w:val="Hyperlink"/>
            <w:rFonts w:ascii="Book Antiqua" w:hAnsi="Book Antiqua"/>
            <w:sz w:val="16"/>
            <w:szCs w:val="16"/>
          </w:rPr>
          <w:t>https://OZHQs.un.org/goals/goal3</w:t>
        </w:r>
      </w:hyperlink>
    </w:p>
  </w:footnote>
  <w:footnote w:id="4">
    <w:p w:rsidR="00BE71AB" w:rsidRPr="00832EFD" w:rsidRDefault="00BE71AB" w:rsidP="00DD5916">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Zyra Rajonale e OBSH-së për Evropë. Plani i veprimit i OBSH-së për TB për Rajonin e BE-së. 2016–2020</w:t>
      </w:r>
    </w:p>
    <w:p w:rsidR="00BE71AB" w:rsidRPr="00832EFD" w:rsidRDefault="00D75ED6" w:rsidP="00DD5916">
      <w:pPr>
        <w:pStyle w:val="FootnoteText"/>
        <w:ind w:firstLine="0"/>
        <w:rPr>
          <w:rFonts w:ascii="Book Antiqua" w:hAnsi="Book Antiqua"/>
          <w:sz w:val="16"/>
          <w:szCs w:val="16"/>
        </w:rPr>
      </w:pPr>
      <w:hyperlink r:id="rId5" w:history="1">
        <w:r w:rsidR="00BE71AB" w:rsidRPr="00832EFD">
          <w:rPr>
            <w:rStyle w:val="Hyperlink"/>
            <w:rFonts w:ascii="Book Antiqua" w:hAnsi="Book Antiqua" w:cs="Calibri"/>
            <w:sz w:val="16"/>
            <w:szCs w:val="16"/>
          </w:rPr>
          <w:t>https://www.BEro.OBSH.int/__data/assets/pdf_file/0007/283804/65wd17e_Rev1_TBActionPlan_150588_wiKSHTover.pdf</w:t>
        </w:r>
      </w:hyperlink>
    </w:p>
  </w:footnote>
  <w:footnote w:id="5">
    <w:p w:rsidR="00BE71AB" w:rsidRPr="00832EFD" w:rsidRDefault="00BE71AB" w:rsidP="00DD5916">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Vlerësimi i LFA i Programit Kombëtar të TB, 2020, Kosovë</w:t>
      </w:r>
    </w:p>
  </w:footnote>
  <w:footnote w:id="6">
    <w:p w:rsidR="00BE71AB" w:rsidRPr="00832EFD" w:rsidRDefault="00BE71AB" w:rsidP="005406EB">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Korniza e Performancës për Grantin e Tranzicionit të Fondit Global 2022-2024. (dosje në formatin Excel: QNA_C_CDF_PF_Aug 11_CDF)</w:t>
      </w:r>
    </w:p>
  </w:footnote>
  <w:footnote w:id="7">
    <w:p w:rsidR="00BE71AB" w:rsidRPr="00832EFD" w:rsidRDefault="00BE71AB" w:rsidP="005406EB">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Top-10 Treguesit Global; Plani i veprimit i OBSH-së për TB për Rajonin e BE-së. Treguesi-1.C.6</w:t>
      </w:r>
    </w:p>
  </w:footnote>
  <w:footnote w:id="8">
    <w:p w:rsidR="00BE71AB" w:rsidRPr="00832EFD" w:rsidRDefault="00BE71AB" w:rsidP="005406EB">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 xml:space="preserve">Shkalla e njoftimit për TB ra ndjeshëm në vitin 2020 në 24,57 për 100,000 popullata për shkak të pandemisë COVID-19. Të dhënat e vitit 2019 janë përdorur për vendosjen e objektivave realiste. </w:t>
      </w:r>
    </w:p>
  </w:footnote>
  <w:footnote w:id="9">
    <w:p w:rsidR="00BE71AB" w:rsidRPr="00832EFD" w:rsidRDefault="00BE71AB" w:rsidP="005406EB">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cs="Calibri"/>
          <w:color w:val="000000"/>
          <w:sz w:val="16"/>
          <w:szCs w:val="16"/>
        </w:rPr>
        <w:t>Plani i veprimit i OBSH-së për TB për Rajonin e BE-së. Treguesi</w:t>
      </w:r>
      <w:r w:rsidRPr="00832EFD">
        <w:rPr>
          <w:rFonts w:ascii="Book Antiqua" w:hAnsi="Book Antiqua"/>
          <w:sz w:val="16"/>
          <w:szCs w:val="16"/>
        </w:rPr>
        <w:t>-1.B.5</w:t>
      </w:r>
    </w:p>
  </w:footnote>
  <w:footnote w:id="10">
    <w:p w:rsidR="00BE71AB" w:rsidRPr="00832EFD" w:rsidRDefault="00BE71AB" w:rsidP="007F553C">
      <w:pPr>
        <w:pStyle w:val="FootnoteText"/>
        <w:rPr>
          <w:rFonts w:ascii="Book Antiqua" w:hAnsi="Book Antiqua"/>
          <w:sz w:val="16"/>
          <w:szCs w:val="16"/>
        </w:rPr>
      </w:pPr>
      <w:r w:rsidRPr="00832EFD">
        <w:rPr>
          <w:rStyle w:val="FootnoteReference"/>
          <w:rFonts w:ascii="Book Antiqua" w:hAnsi="Book Antiqua"/>
          <w:sz w:val="16"/>
          <w:szCs w:val="16"/>
        </w:rPr>
        <w:footnoteRef/>
      </w:r>
      <w:hyperlink r:id="rId6" w:history="1">
        <w:r w:rsidRPr="00832EFD">
          <w:rPr>
            <w:rStyle w:val="Hyperlink"/>
            <w:rFonts w:ascii="Book Antiqua" w:hAnsi="Book Antiqua"/>
            <w:b/>
            <w:bCs/>
            <w:color w:val="004288"/>
            <w:sz w:val="16"/>
            <w:szCs w:val="16"/>
            <w:shd w:val="clear" w:color="auto" w:fill="FFFFFF"/>
          </w:rPr>
          <w:t>LIGJI Nr. 04/L-125 PËR SHËNDETËSI</w:t>
        </w:r>
      </w:hyperlink>
      <w:r w:rsidRPr="00832EFD">
        <w:rPr>
          <w:rStyle w:val="Hyperlink"/>
          <w:rFonts w:ascii="Book Antiqua" w:hAnsi="Book Antiqua"/>
          <w:b/>
          <w:bCs/>
          <w:color w:val="004288"/>
          <w:sz w:val="16"/>
          <w:szCs w:val="16"/>
          <w:shd w:val="clear" w:color="auto" w:fill="FFFFFF"/>
        </w:rPr>
        <w:t xml:space="preserve"> </w:t>
      </w:r>
      <w:hyperlink r:id="rId7" w:history="1">
        <w:r w:rsidRPr="00832EFD">
          <w:rPr>
            <w:rStyle w:val="Hyperlink"/>
            <w:rFonts w:ascii="Book Antiqua" w:hAnsi="Book Antiqua"/>
            <w:sz w:val="16"/>
            <w:szCs w:val="16"/>
          </w:rPr>
          <w:t>https://gzk.rks-gov.net/ActDetail.aspx?ActID=8666</w:t>
        </w:r>
      </w:hyperlink>
    </w:p>
  </w:footnote>
  <w:footnote w:id="11">
    <w:p w:rsidR="00BE71AB" w:rsidRPr="00832EFD" w:rsidRDefault="00BE71AB" w:rsidP="00EE7E67">
      <w:pPr>
        <w:pStyle w:val="FootnoteText"/>
        <w:ind w:firstLine="0"/>
        <w:rPr>
          <w:rFonts w:ascii="Book Antiqua" w:hAnsi="Book Antiqua"/>
          <w:sz w:val="16"/>
        </w:rPr>
      </w:pPr>
      <w:r w:rsidRPr="00832EFD">
        <w:rPr>
          <w:rStyle w:val="FootnoteReference"/>
          <w:rFonts w:ascii="Book Antiqua" w:hAnsi="Book Antiqua"/>
          <w:sz w:val="16"/>
        </w:rPr>
        <w:footnoteRef/>
      </w:r>
      <w:r w:rsidRPr="00832EFD">
        <w:rPr>
          <w:rFonts w:ascii="Book Antiqua" w:hAnsi="Book Antiqua"/>
          <w:sz w:val="16"/>
        </w:rPr>
        <w:t>Propozimi i shtetit të Kosovës për Fondin Global. Kërkesa për financim të tranzicionit 2022-2024. Ministria e Shëndetësisë së Kosovës. 2020</w:t>
      </w:r>
    </w:p>
  </w:footnote>
  <w:footnote w:id="12">
    <w:p w:rsidR="00BE71AB" w:rsidRPr="00832EFD" w:rsidRDefault="00BE71AB" w:rsidP="00B1666B">
      <w:pPr>
        <w:pStyle w:val="FootnoteText"/>
        <w:ind w:firstLine="0"/>
        <w:rPr>
          <w:rFonts w:ascii="Book Antiqua" w:hAnsi="Book Antiqua"/>
          <w:sz w:val="16"/>
        </w:rPr>
      </w:pPr>
      <w:r w:rsidRPr="00832EFD">
        <w:rPr>
          <w:rStyle w:val="FootnoteReference"/>
          <w:rFonts w:ascii="Book Antiqua" w:hAnsi="Book Antiqua"/>
          <w:sz w:val="16"/>
        </w:rPr>
        <w:footnoteRef/>
      </w:r>
      <w:r w:rsidRPr="00832EFD">
        <w:rPr>
          <w:rFonts w:ascii="Book Antiqua" w:hAnsi="Book Antiqua"/>
          <w:sz w:val="16"/>
        </w:rPr>
        <w:t>Propozimi i shtetit të Kosovës për Fondin Global. Kërkesa për financim të tranzicionit 2022-2024. Ministria e Shëndetësisë së Kosovës. 2020</w:t>
      </w:r>
    </w:p>
  </w:footnote>
  <w:footnote w:id="13">
    <w:p w:rsidR="00BE71AB" w:rsidRPr="00832EFD" w:rsidRDefault="00BE71AB" w:rsidP="00302980">
      <w:pPr>
        <w:pStyle w:val="FootnoteText"/>
        <w:ind w:firstLine="0"/>
        <w:rPr>
          <w:rFonts w:ascii="Book Antiqua" w:hAnsi="Book Antiqua"/>
          <w:sz w:val="16"/>
        </w:rPr>
      </w:pPr>
      <w:r w:rsidRPr="00832EFD">
        <w:rPr>
          <w:rStyle w:val="FootnoteReference"/>
          <w:rFonts w:ascii="Book Antiqua" w:hAnsi="Book Antiqua"/>
          <w:sz w:val="16"/>
        </w:rPr>
        <w:footnoteRef/>
      </w:r>
      <w:r w:rsidRPr="00832EFD">
        <w:rPr>
          <w:rFonts w:ascii="Book Antiqua" w:hAnsi="Book Antiqua"/>
          <w:sz w:val="16"/>
        </w:rPr>
        <w:t>Kërkesë për financim të plotë për Mekanizmin e Fondit Global për Reagim kundër COVID-19 (C19RM). 1 prill 2021 – 31 dhjetor 2023. FZHK. Kosovë. Parashtruar më 15 qershor 2021.</w:t>
      </w:r>
    </w:p>
  </w:footnote>
  <w:footnote w:id="14">
    <w:p w:rsidR="00BE71AB" w:rsidRPr="00832EFD" w:rsidRDefault="00BE71AB" w:rsidP="006E1991">
      <w:pPr>
        <w:pStyle w:val="FootnoteText"/>
        <w:ind w:firstLine="0"/>
        <w:rPr>
          <w:rFonts w:ascii="Book Antiqua" w:hAnsi="Book Antiqua"/>
          <w:sz w:val="16"/>
        </w:rPr>
      </w:pPr>
      <w:r w:rsidRPr="00832EFD">
        <w:rPr>
          <w:rStyle w:val="FootnoteReference"/>
          <w:rFonts w:ascii="Book Antiqua" w:hAnsi="Book Antiqua"/>
          <w:sz w:val="16"/>
        </w:rPr>
        <w:footnoteRef/>
      </w:r>
      <w:r w:rsidRPr="00832EFD">
        <w:rPr>
          <w:rFonts w:ascii="Book Antiqua" w:hAnsi="Book Antiqua"/>
          <w:sz w:val="16"/>
        </w:rPr>
        <w:t xml:space="preserve"> SIMTB- Sistemi Kombëtar elektronik i Informacionit për TB</w:t>
      </w:r>
    </w:p>
  </w:footnote>
  <w:footnote w:id="15">
    <w:p w:rsidR="00BE71AB" w:rsidRPr="00832EFD" w:rsidRDefault="00BE71AB" w:rsidP="006E1991">
      <w:pPr>
        <w:pStyle w:val="FootnoteText"/>
        <w:ind w:firstLine="0"/>
        <w:rPr>
          <w:rFonts w:ascii="Book Antiqua" w:hAnsi="Book Antiqua"/>
          <w:sz w:val="16"/>
        </w:rPr>
      </w:pPr>
      <w:r w:rsidRPr="00832EFD">
        <w:rPr>
          <w:rStyle w:val="FootnoteReference"/>
          <w:rFonts w:ascii="Book Antiqua" w:hAnsi="Book Antiqua" w:cs="Arial"/>
          <w:sz w:val="16"/>
        </w:rPr>
        <w:footnoteRef/>
      </w:r>
      <w:r w:rsidRPr="00832EFD">
        <w:rPr>
          <w:rFonts w:ascii="Book Antiqua" w:hAnsi="Book Antiqua"/>
          <w:sz w:val="16"/>
        </w:rPr>
        <w:t xml:space="preserve"> </w:t>
      </w:r>
      <w:hyperlink r:id="rId8" w:history="1">
        <w:r w:rsidRPr="00832EFD">
          <w:rPr>
            <w:rStyle w:val="Hyperlink"/>
            <w:rFonts w:ascii="Book Antiqua" w:hAnsi="Book Antiqua"/>
            <w:sz w:val="16"/>
          </w:rPr>
          <w:t>https://mf.rks-gov.net/desk/inc/media/BF918317-EB51-4D24-A2A0-CD6F685A4EA6.pdf</w:t>
        </w:r>
      </w:hyperlink>
      <w:r w:rsidRPr="00832EFD">
        <w:rPr>
          <w:rFonts w:ascii="Book Antiqua" w:hAnsi="Book Antiqua"/>
          <w:sz w:val="16"/>
        </w:rPr>
        <w:t xml:space="preserve"> </w:t>
      </w:r>
    </w:p>
  </w:footnote>
  <w:footnote w:id="16">
    <w:p w:rsidR="00BE71AB" w:rsidRPr="00832EFD" w:rsidRDefault="00BE71AB" w:rsidP="006E1991">
      <w:pPr>
        <w:pStyle w:val="FootnoteText"/>
        <w:ind w:firstLine="0"/>
        <w:rPr>
          <w:rFonts w:ascii="Book Antiqua" w:hAnsi="Book Antiqua"/>
          <w:sz w:val="16"/>
        </w:rPr>
      </w:pPr>
      <w:r w:rsidRPr="00832EFD">
        <w:rPr>
          <w:rStyle w:val="FootnoteReference"/>
          <w:rFonts w:ascii="Book Antiqua" w:hAnsi="Book Antiqua"/>
          <w:sz w:val="16"/>
        </w:rPr>
        <w:footnoteRef/>
      </w:r>
      <w:r w:rsidRPr="00832EFD">
        <w:rPr>
          <w:rFonts w:ascii="Book Antiqua" w:hAnsi="Book Antiqua"/>
          <w:sz w:val="16"/>
        </w:rPr>
        <w:t xml:space="preserve"> Peizazhi i financimit të Kosovës. Parashtruar në Fondin Global 24.08.2021</w:t>
      </w:r>
    </w:p>
  </w:footnote>
  <w:footnote w:id="17">
    <w:p w:rsidR="00BE71AB" w:rsidRPr="00832EFD" w:rsidRDefault="00BE71AB" w:rsidP="006E1991">
      <w:pPr>
        <w:pStyle w:val="FootnoteText"/>
        <w:ind w:firstLine="0"/>
        <w:rPr>
          <w:rFonts w:ascii="Book Antiqua" w:hAnsi="Book Antiqua"/>
          <w:sz w:val="16"/>
        </w:rPr>
      </w:pPr>
      <w:r w:rsidRPr="00832EFD">
        <w:rPr>
          <w:rStyle w:val="FootnoteReference"/>
          <w:rFonts w:ascii="Book Antiqua" w:hAnsi="Book Antiqua"/>
          <w:sz w:val="16"/>
        </w:rPr>
        <w:footnoteRef/>
      </w:r>
      <w:r w:rsidRPr="00832EFD">
        <w:rPr>
          <w:rFonts w:ascii="Book Antiqua" w:hAnsi="Book Antiqua"/>
          <w:sz w:val="16"/>
        </w:rPr>
        <w:t xml:space="preserve"> Përgjigjet e PRT. Përgatitur nga MSH dhe FZHK; parashtruar në FG në gusht 2021</w:t>
      </w:r>
    </w:p>
  </w:footnote>
  <w:footnote w:id="18">
    <w:p w:rsidR="00BE71AB" w:rsidRPr="00832EFD" w:rsidRDefault="00BE71AB" w:rsidP="00737C94">
      <w:pPr>
        <w:pStyle w:val="FootnoteText"/>
        <w:rPr>
          <w:rFonts w:ascii="Book Antiqua" w:hAnsi="Book Antiqua"/>
          <w:sz w:val="16"/>
        </w:rPr>
      </w:pPr>
      <w:r w:rsidRPr="00832EFD">
        <w:rPr>
          <w:rStyle w:val="FootnoteReference"/>
          <w:rFonts w:ascii="Book Antiqua" w:hAnsi="Book Antiqua"/>
          <w:sz w:val="16"/>
        </w:rPr>
        <w:footnoteRef/>
      </w:r>
      <w:r w:rsidRPr="00832EFD">
        <w:rPr>
          <w:rFonts w:ascii="Book Antiqua" w:hAnsi="Book Antiqua" w:cs="Cambria"/>
          <w:sz w:val="16"/>
        </w:rPr>
        <w:t xml:space="preserve">UNAIDS dhe Partneriteti Stop TB. Mjetet e vlerësimit gjinor për përgjigjet kombëtare të HIV dhe TB. </w:t>
      </w:r>
      <w:hyperlink r:id="rId9" w:history="1">
        <w:r w:rsidRPr="00832EFD">
          <w:rPr>
            <w:rStyle w:val="Hyperlink"/>
            <w:rFonts w:ascii="Book Antiqua" w:hAnsi="Book Antiqua" w:cs="Cambria"/>
            <w:sz w:val="16"/>
          </w:rPr>
          <w:t>http://www.stoptb.org/assets/documents/resources/publications/acsm/Gender_Assessment_Tool_TB_HIV_UNAIDS_FINAL_2016%20ENG.pdf</w:t>
        </w:r>
      </w:hyperlink>
    </w:p>
  </w:footnote>
  <w:footnote w:id="19">
    <w:p w:rsidR="00BE71AB" w:rsidRPr="00832EFD" w:rsidRDefault="00BE71AB" w:rsidP="005240E4">
      <w:pPr>
        <w:pStyle w:val="FootnoteText"/>
        <w:rPr>
          <w:rFonts w:ascii="Book Antiqua" w:hAnsi="Book Antiqua"/>
          <w:sz w:val="16"/>
        </w:rPr>
      </w:pPr>
      <w:r w:rsidRPr="00832EFD">
        <w:rPr>
          <w:rStyle w:val="FootnoteReference"/>
          <w:rFonts w:ascii="Book Antiqua" w:hAnsi="Book Antiqua"/>
          <w:sz w:val="16"/>
        </w:rPr>
        <w:footnoteRef/>
      </w:r>
      <w:r w:rsidRPr="00832EFD">
        <w:rPr>
          <w:rFonts w:ascii="Book Antiqua" w:hAnsi="Book Antiqua" w:cs="Calibri"/>
          <w:color w:val="000000"/>
          <w:sz w:val="16"/>
        </w:rPr>
        <w:t>Plani Strategjik Kombëtar për Kontrollin e TB-së në Kosovë. 2018-2022. Ministria e Shëndetësisë së Kosovës. Përgatitur përmes mbështetjes financiare të FG. 2017. Kosovë</w:t>
      </w:r>
    </w:p>
  </w:footnote>
  <w:footnote w:id="20">
    <w:p w:rsidR="00BE71AB" w:rsidRPr="00832EFD" w:rsidRDefault="00BE71AB" w:rsidP="00911D6F">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 xml:space="preserve">Ligji për Shëndetin Publik; Kuvendi i Kosovës; </w:t>
      </w:r>
      <w:hyperlink r:id="rId10" w:history="1">
        <w:r w:rsidRPr="00832EFD">
          <w:rPr>
            <w:rStyle w:val="Hyperlink"/>
            <w:rFonts w:ascii="Book Antiqua" w:hAnsi="Book Antiqua"/>
            <w:sz w:val="16"/>
            <w:szCs w:val="16"/>
          </w:rPr>
          <w:t>https://msh.rks-gov.net/wp-content/uploads/2020/03/2007_02-L78-Law-on-Public-Health.pdf</w:t>
        </w:r>
      </w:hyperlink>
      <w:r w:rsidRPr="00832EFD">
        <w:rPr>
          <w:rFonts w:ascii="Book Antiqua" w:hAnsi="Book Antiqua"/>
          <w:sz w:val="16"/>
          <w:szCs w:val="16"/>
        </w:rPr>
        <w:t xml:space="preserve"> </w:t>
      </w:r>
    </w:p>
  </w:footnote>
  <w:footnote w:id="21">
    <w:p w:rsidR="00BE71AB" w:rsidRPr="00832EFD" w:rsidRDefault="00BE71AB" w:rsidP="005240E4">
      <w:pPr>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cs="Calibri"/>
          <w:color w:val="000000"/>
          <w:sz w:val="16"/>
          <w:szCs w:val="16"/>
        </w:rPr>
        <w:t>Plani i Monitorimit dhe Vlerësimit 2019-2021. Programi Kombëtar i Kosovës kundër TB-së. Prishtinë, Kosovë</w:t>
      </w:r>
    </w:p>
  </w:footnote>
  <w:footnote w:id="22">
    <w:p w:rsidR="00BE71AB" w:rsidRPr="00832EFD" w:rsidRDefault="00BE71AB" w:rsidP="009F7F61">
      <w:pPr>
        <w:rPr>
          <w:rFonts w:ascii="Book Antiqua" w:hAnsi="Book Antiqua"/>
          <w:sz w:val="20"/>
        </w:rPr>
      </w:pPr>
      <w:r w:rsidRPr="00832EFD">
        <w:rPr>
          <w:rFonts w:ascii="Book Antiqua" w:hAnsi="Book Antiqua" w:cs="Calibri"/>
          <w:color w:val="000000"/>
          <w:sz w:val="16"/>
          <w:szCs w:val="20"/>
          <w:vertAlign w:val="superscript"/>
        </w:rPr>
        <w:footnoteRef/>
      </w:r>
      <w:r w:rsidRPr="00832EFD">
        <w:rPr>
          <w:rFonts w:ascii="Book Antiqua" w:hAnsi="Book Antiqua" w:cs="Calibri"/>
          <w:color w:val="000000"/>
          <w:sz w:val="16"/>
          <w:szCs w:val="20"/>
        </w:rPr>
        <w:t>Plani i Monitorimit dhe Vlerësimit 2019-2021. Programi Kombëtar i Kosovës për TB. Prishtinë, Kosovë</w:t>
      </w:r>
    </w:p>
  </w:footnote>
  <w:footnote w:id="23">
    <w:p w:rsidR="00BE71AB" w:rsidRPr="00832EFD" w:rsidRDefault="00BE71AB" w:rsidP="000B0F5F">
      <w:pPr>
        <w:pStyle w:val="FootnoteText"/>
        <w:ind w:firstLine="0"/>
        <w:rPr>
          <w:rFonts w:ascii="Book Antiqua" w:hAnsi="Book Antiqua"/>
          <w:sz w:val="16"/>
        </w:rPr>
      </w:pPr>
      <w:r w:rsidRPr="00832EFD">
        <w:rPr>
          <w:rStyle w:val="FootnoteReference"/>
          <w:rFonts w:ascii="Book Antiqua" w:hAnsi="Book Antiqua"/>
          <w:sz w:val="16"/>
        </w:rPr>
        <w:footnoteRef/>
      </w:r>
      <w:r w:rsidRPr="00832EFD">
        <w:rPr>
          <w:rFonts w:ascii="Book Antiqua" w:hAnsi="Book Antiqua" w:cs="Calibri"/>
          <w:iCs/>
          <w:sz w:val="16"/>
        </w:rPr>
        <w:t>Tuberkulozi në Kosovë: analiza e ndikimit epidemiologjik. Zyra Rajonale e OBSH për Evrope. 2016</w:t>
      </w:r>
    </w:p>
  </w:footnote>
  <w:footnote w:id="24">
    <w:p w:rsidR="00BE71AB" w:rsidRPr="00832EFD" w:rsidRDefault="00BE71AB" w:rsidP="00547B6C">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cs="Calibri"/>
          <w:color w:val="000000"/>
          <w:sz w:val="16"/>
          <w:szCs w:val="16"/>
        </w:rPr>
        <w:t>Propozimi i shtetit të Kosovës për Fondin Global. Kërkesa për financim të tranzicionit 2022-2024. Ministria e Shëndetësisë së Kosovës,2020</w:t>
      </w:r>
    </w:p>
  </w:footnote>
  <w:footnote w:id="25">
    <w:p w:rsidR="00BE71AB" w:rsidRPr="00832EFD" w:rsidRDefault="00BE71AB" w:rsidP="005240E4">
      <w:pPr>
        <w:rPr>
          <w:rFonts w:ascii="Book Antiqua" w:hAnsi="Book Antiqua"/>
          <w:sz w:val="16"/>
          <w:szCs w:val="16"/>
        </w:rPr>
      </w:pPr>
      <w:r w:rsidRPr="00832EFD">
        <w:rPr>
          <w:rStyle w:val="FootnoteReference"/>
          <w:rFonts w:ascii="Book Antiqua" w:hAnsi="Book Antiqua"/>
          <w:sz w:val="16"/>
          <w:szCs w:val="16"/>
        </w:rPr>
        <w:footnoteRef/>
      </w:r>
      <w:r w:rsidRPr="00832EFD">
        <w:rPr>
          <w:rStyle w:val="FootnoteTextChar"/>
          <w:rFonts w:ascii="Book Antiqua" w:hAnsi="Book Antiqua"/>
          <w:sz w:val="16"/>
          <w:szCs w:val="16"/>
        </w:rPr>
        <w:t>Plani Strategjik Kombëtar për Kontrollin e TB-së në Kosovë. 2019-2021</w:t>
      </w:r>
    </w:p>
  </w:footnote>
  <w:footnote w:id="26">
    <w:p w:rsidR="00BE71AB" w:rsidRPr="00832EFD" w:rsidRDefault="00BE71AB" w:rsidP="000E0676">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Korniza e Performancës për Grantin e Tranzicionit të Fondit Global 2022-2024. (dosje në formatin Excel: QNA_C_FZHK_PF_Aug 11_CDF)</w:t>
      </w:r>
    </w:p>
  </w:footnote>
  <w:footnote w:id="27">
    <w:p w:rsidR="00BE71AB" w:rsidRPr="00832EFD" w:rsidRDefault="00BE71AB" w:rsidP="000E0676">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Top-10Treguesit Global; Plani i Veprimit për Tuberkulozin i OBSH-së për Rajonin Evropian. Treguesi -1.C.6</w:t>
      </w:r>
    </w:p>
  </w:footnote>
  <w:footnote w:id="28">
    <w:p w:rsidR="00BE71AB" w:rsidRPr="00832EFD" w:rsidRDefault="00BE71AB" w:rsidP="000E0676">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 xml:space="preserve">Shkalla e njoftimit për TB ra ndjeshëm në vitin 2020 në 24,57 për 100,000 popullata për shkak të pandemisë COVID-19. Të dhënat e vitit 2019 janë përdorur për vendosjen e objektivave reale. </w:t>
      </w:r>
    </w:p>
  </w:footnote>
  <w:footnote w:id="29">
    <w:p w:rsidR="00BE71AB" w:rsidRPr="00832EFD" w:rsidRDefault="00BE71AB" w:rsidP="000E0676">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cs="Calibri"/>
          <w:color w:val="000000"/>
          <w:sz w:val="16"/>
          <w:szCs w:val="16"/>
        </w:rPr>
        <w:t xml:space="preserve">Plani i Veprimit për Tuberkulozin e OBSH-së në Rajonin Evropian. Treguesi </w:t>
      </w:r>
      <w:r w:rsidRPr="00832EFD">
        <w:rPr>
          <w:rFonts w:ascii="Book Antiqua" w:hAnsi="Book Antiqua"/>
          <w:sz w:val="16"/>
          <w:szCs w:val="16"/>
        </w:rPr>
        <w:t>-1.B.5</w:t>
      </w:r>
    </w:p>
  </w:footnote>
  <w:footnote w:id="30">
    <w:p w:rsidR="00BE71AB" w:rsidRPr="00832EFD" w:rsidRDefault="00BE71AB" w:rsidP="00DD085C">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Zyra Rajonale e OBSH-së për Evropë. Plani i Veprimit për Tuberkulozin i OBSH-së për Rajonin Evropian. 2016–2020</w:t>
      </w:r>
    </w:p>
    <w:p w:rsidR="00BE71AB" w:rsidRPr="00832EFD" w:rsidRDefault="00D75ED6" w:rsidP="00DD085C">
      <w:pPr>
        <w:pStyle w:val="FootnoteText"/>
        <w:ind w:firstLine="0"/>
        <w:rPr>
          <w:rFonts w:ascii="Book Antiqua" w:hAnsi="Book Antiqua"/>
          <w:sz w:val="16"/>
          <w:szCs w:val="16"/>
        </w:rPr>
      </w:pPr>
      <w:hyperlink r:id="rId11" w:history="1">
        <w:r w:rsidR="00BE71AB" w:rsidRPr="00832EFD">
          <w:rPr>
            <w:rStyle w:val="Hyperlink"/>
            <w:rFonts w:ascii="Book Antiqua" w:hAnsi="Book Antiqua" w:cs="Calibri"/>
            <w:sz w:val="16"/>
            <w:szCs w:val="16"/>
          </w:rPr>
          <w:t>https://www.BEro.OBSH.int/__data/assets/pdf_file/0007/283804/65wd17e_Rev1_TBActionPlan_150588_wiKSHTover.pdf</w:t>
        </w:r>
      </w:hyperlink>
    </w:p>
  </w:footnote>
  <w:footnote w:id="31">
    <w:p w:rsidR="00BE71AB" w:rsidRPr="00832EFD" w:rsidRDefault="00BE71AB" w:rsidP="000E0676">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cs="Calibri"/>
          <w:color w:val="000000"/>
          <w:sz w:val="16"/>
          <w:szCs w:val="16"/>
        </w:rPr>
        <w:t>Vlerësimi i LFA i Programit Kombëtar për TB, 2020, Kosovë</w:t>
      </w:r>
    </w:p>
  </w:footnote>
  <w:footnote w:id="32">
    <w:p w:rsidR="00BE71AB" w:rsidRPr="00832EFD" w:rsidRDefault="00BE71AB" w:rsidP="000E0676">
      <w:pPr>
        <w:pStyle w:val="FootnoteText"/>
        <w:ind w:firstLine="0"/>
        <w:rPr>
          <w:rFonts w:ascii="Book Antiqua" w:hAnsi="Book Antiqua"/>
          <w:sz w:val="16"/>
        </w:rPr>
      </w:pPr>
      <w:r w:rsidRPr="00832EFD">
        <w:rPr>
          <w:rStyle w:val="FootnoteReference"/>
          <w:rFonts w:ascii="Book Antiqua" w:hAnsi="Book Antiqua"/>
          <w:sz w:val="16"/>
        </w:rPr>
        <w:footnoteRef/>
      </w:r>
      <w:r w:rsidRPr="00832EFD">
        <w:rPr>
          <w:rFonts w:ascii="Book Antiqua" w:hAnsi="Book Antiqua"/>
          <w:sz w:val="16"/>
        </w:rPr>
        <w:t>KKTB ka një funksion mbikëqyrës dhe konsultativ në kuadër të Programit Kombëtar kundër TB-së në kuadër të Ministrisë së Shëndetësisë. Ai koordinon, mbikëqyr dhe bën rekomandime, nën drejtimin dhe në bashkëpunim të ngushtë me njësinë për zbatimin e Programit të Kontrollit të TB-së.</w:t>
      </w:r>
    </w:p>
  </w:footnote>
  <w:footnote w:id="33">
    <w:p w:rsidR="00BE71AB" w:rsidRPr="00832EFD" w:rsidRDefault="00BE71AB" w:rsidP="00CA2476">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Treguesi Global Top-10; Plani i veprimit i OBSH-së për TB për Rajonin e BE-së. Treguesi – 1.C.3</w:t>
      </w:r>
    </w:p>
  </w:footnote>
  <w:footnote w:id="34">
    <w:p w:rsidR="00BE71AB" w:rsidRPr="00832EFD" w:rsidRDefault="00BE71AB" w:rsidP="00CA2476">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 xml:space="preserve">Treguesi Global Top-10; Plani i veprimit i OBSH-së për TB për Rajonin e BE-së. Treguesi – 1.C.2 </w:t>
      </w:r>
    </w:p>
  </w:footnote>
  <w:footnote w:id="35">
    <w:p w:rsidR="00BE71AB" w:rsidRPr="00832EFD" w:rsidRDefault="00BE71AB" w:rsidP="00CA2476">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Treguesi Global Top-10; Plani i veprimit i OBSH-së për TB për Rajonin e BE-së. Treguesi -1.C.4</w:t>
      </w:r>
    </w:p>
  </w:footnote>
  <w:footnote w:id="36">
    <w:p w:rsidR="00BE71AB" w:rsidRPr="00832EFD" w:rsidRDefault="00BE71AB" w:rsidP="00CA2476">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Treguesi Global Top-10; Plani i veprimit i OBSH-së për TB për Rajonin e BE-së. Treguesi -1.B.2</w:t>
      </w:r>
    </w:p>
  </w:footnote>
  <w:footnote w:id="37">
    <w:p w:rsidR="00BE71AB" w:rsidRPr="00832EFD" w:rsidRDefault="00BE71AB" w:rsidP="00CA2476">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Standardet Ndërkombëtare për Kujdesin ndaj Tuberkulozit, Edicioni 3 (TB CARE I, 2014)</w:t>
      </w:r>
    </w:p>
  </w:footnote>
  <w:footnote w:id="38">
    <w:p w:rsidR="00BE71AB" w:rsidRPr="00832EFD" w:rsidRDefault="00BE71AB" w:rsidP="00EB733C">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2019-2020 AGTSH në Kosovë &amp; 2019-2020 AGTSH me komunitetet rom, ashkali dhe egjiptian në Kosovë. Raporti i plotë. Tabela TC.1.2A.</w:t>
      </w:r>
      <w:hyperlink r:id="rId12" w:history="1">
        <w:r w:rsidRPr="00832EFD">
          <w:rPr>
            <w:rStyle w:val="Hyperlink"/>
            <w:rFonts w:ascii="Book Antiqua" w:hAnsi="Book Antiqua" w:cs="Calibri"/>
            <w:sz w:val="16"/>
            <w:szCs w:val="16"/>
          </w:rPr>
          <w:t>https://www.unicef.org/kosovoprogramme/media/1871/file/Kosovo%20AGTSH%202020.pdf</w:t>
        </w:r>
      </w:hyperlink>
    </w:p>
  </w:footnote>
  <w:footnote w:id="39">
    <w:p w:rsidR="00BE71AB" w:rsidRPr="00832EFD" w:rsidRDefault="00BE71AB" w:rsidP="00250C19">
      <w:pPr>
        <w:pStyle w:val="FootnoteText"/>
        <w:ind w:firstLine="0"/>
        <w:rPr>
          <w:rFonts w:ascii="Book Antiqua" w:hAnsi="Book Antiqua"/>
          <w:sz w:val="16"/>
        </w:rPr>
      </w:pPr>
      <w:r w:rsidRPr="00832EFD">
        <w:rPr>
          <w:rStyle w:val="FootnoteReference"/>
          <w:rFonts w:ascii="Book Antiqua" w:hAnsi="Book Antiqua"/>
          <w:sz w:val="16"/>
        </w:rPr>
        <w:footnoteRef/>
      </w:r>
      <w:r w:rsidRPr="00832EFD">
        <w:rPr>
          <w:rFonts w:ascii="Book Antiqua" w:hAnsi="Book Antiqua"/>
          <w:sz w:val="16"/>
        </w:rPr>
        <w:t>Top-10 Treguesit Global; Plani i veprimit i OBSH-së për TB për Rajonin e BE-së. Treguesi-1.A.1</w:t>
      </w:r>
    </w:p>
  </w:footnote>
  <w:footnote w:id="40">
    <w:p w:rsidR="00BE71AB" w:rsidRPr="00832EFD" w:rsidRDefault="00BE71AB" w:rsidP="00250C19">
      <w:pPr>
        <w:pStyle w:val="FootnoteText"/>
        <w:ind w:firstLine="0"/>
        <w:rPr>
          <w:rFonts w:ascii="Book Antiqua" w:hAnsi="Book Antiqua"/>
          <w:sz w:val="16"/>
        </w:rPr>
      </w:pPr>
      <w:r w:rsidRPr="00832EFD">
        <w:rPr>
          <w:rStyle w:val="FootnoteReference"/>
          <w:rFonts w:ascii="Book Antiqua" w:hAnsi="Book Antiqua"/>
          <w:sz w:val="16"/>
        </w:rPr>
        <w:footnoteRef/>
      </w:r>
      <w:r w:rsidRPr="00832EFD">
        <w:rPr>
          <w:rFonts w:ascii="Book Antiqua" w:hAnsi="Book Antiqua"/>
          <w:sz w:val="16"/>
        </w:rPr>
        <w:t>Top-10 Treguesit Global; Plani i veprimit i OBSH-së për TB për Rajonin e BE-së. Treguesi-1.B.1</w:t>
      </w:r>
    </w:p>
  </w:footnote>
  <w:footnote w:id="41">
    <w:p w:rsidR="00BE71AB" w:rsidRPr="00832EFD" w:rsidRDefault="00BE71AB" w:rsidP="00250C19">
      <w:pPr>
        <w:pStyle w:val="FootnoteText"/>
        <w:ind w:firstLine="0"/>
        <w:rPr>
          <w:rFonts w:ascii="Book Antiqua" w:hAnsi="Book Antiqua"/>
          <w:sz w:val="16"/>
        </w:rPr>
      </w:pPr>
      <w:r w:rsidRPr="00832EFD">
        <w:rPr>
          <w:rStyle w:val="FootnoteReference"/>
          <w:rFonts w:ascii="Book Antiqua" w:hAnsi="Book Antiqua"/>
          <w:sz w:val="16"/>
        </w:rPr>
        <w:footnoteRef/>
      </w:r>
      <w:r w:rsidRPr="00832EFD">
        <w:rPr>
          <w:rFonts w:ascii="Book Antiqua" w:hAnsi="Book Antiqua" w:cs="Calibri"/>
          <w:color w:val="000000"/>
          <w:sz w:val="16"/>
        </w:rPr>
        <w:t>Plani i veprimit i OBSH-së për TB për Rajonin e BE-së. Treguesi</w:t>
      </w:r>
      <w:r w:rsidRPr="00832EFD">
        <w:rPr>
          <w:rFonts w:ascii="Book Antiqua" w:hAnsi="Book Antiqua"/>
          <w:sz w:val="16"/>
        </w:rPr>
        <w:t>1.B.4</w:t>
      </w:r>
    </w:p>
  </w:footnote>
  <w:footnote w:id="42">
    <w:p w:rsidR="00BE71AB" w:rsidRPr="00832EFD" w:rsidRDefault="00BE71AB" w:rsidP="00250C19">
      <w:pPr>
        <w:pStyle w:val="FootnoteText"/>
        <w:ind w:firstLine="0"/>
        <w:rPr>
          <w:rFonts w:ascii="Book Antiqua" w:hAnsi="Book Antiqua"/>
          <w:sz w:val="16"/>
        </w:rPr>
      </w:pPr>
      <w:r w:rsidRPr="00832EFD">
        <w:rPr>
          <w:rStyle w:val="FootnoteReference"/>
          <w:rFonts w:ascii="Book Antiqua" w:hAnsi="Book Antiqua"/>
          <w:sz w:val="16"/>
        </w:rPr>
        <w:footnoteRef/>
      </w:r>
      <w:r w:rsidRPr="00832EFD">
        <w:rPr>
          <w:rFonts w:ascii="Book Antiqua" w:hAnsi="Book Antiqua" w:cs="Calibri"/>
          <w:color w:val="000000"/>
          <w:sz w:val="16"/>
        </w:rPr>
        <w:t>Plani i veprimit i OBSH-së për TB për Rajonin e BE-së. Treguesi</w:t>
      </w:r>
      <w:r w:rsidRPr="00832EFD">
        <w:rPr>
          <w:rFonts w:ascii="Book Antiqua" w:hAnsi="Book Antiqua"/>
          <w:sz w:val="16"/>
        </w:rPr>
        <w:t>1.B.3</w:t>
      </w:r>
    </w:p>
  </w:footnote>
  <w:footnote w:id="43">
    <w:p w:rsidR="00BE71AB" w:rsidRPr="00832EFD" w:rsidRDefault="00BE71AB" w:rsidP="00250C19">
      <w:pPr>
        <w:pStyle w:val="FootnoteText"/>
        <w:ind w:firstLine="0"/>
        <w:rPr>
          <w:rFonts w:ascii="Book Antiqua" w:hAnsi="Book Antiqua"/>
          <w:sz w:val="16"/>
        </w:rPr>
      </w:pPr>
      <w:r w:rsidRPr="00832EFD">
        <w:rPr>
          <w:rStyle w:val="FootnoteReference"/>
          <w:rFonts w:ascii="Book Antiqua" w:hAnsi="Book Antiqua"/>
          <w:sz w:val="16"/>
        </w:rPr>
        <w:footnoteRef/>
      </w:r>
      <w:r w:rsidRPr="00832EFD">
        <w:rPr>
          <w:rFonts w:ascii="Book Antiqua" w:hAnsi="Book Antiqua"/>
          <w:sz w:val="16"/>
        </w:rPr>
        <w:t xml:space="preserve">Top-10 Treguesit Global; Plani i veprimit i OBSH-së për TB për Rajonin e BE-së. Treguesi1.E.2 </w:t>
      </w:r>
    </w:p>
  </w:footnote>
  <w:footnote w:id="44">
    <w:p w:rsidR="00BE71AB" w:rsidRPr="00832EFD" w:rsidRDefault="00BE71AB" w:rsidP="00250C19">
      <w:pPr>
        <w:pStyle w:val="FootnoteText"/>
        <w:ind w:firstLine="0"/>
        <w:rPr>
          <w:rFonts w:ascii="Book Antiqua" w:hAnsi="Book Antiqua"/>
          <w:sz w:val="16"/>
        </w:rPr>
      </w:pPr>
      <w:r w:rsidRPr="00832EFD">
        <w:rPr>
          <w:rStyle w:val="FootnoteReference"/>
          <w:rFonts w:ascii="Book Antiqua" w:hAnsi="Book Antiqua"/>
          <w:sz w:val="16"/>
        </w:rPr>
        <w:footnoteRef/>
      </w:r>
      <w:r w:rsidRPr="00832EFD">
        <w:rPr>
          <w:rFonts w:ascii="Book Antiqua" w:hAnsi="Book Antiqua" w:cs="Calibri"/>
          <w:color w:val="000000"/>
          <w:sz w:val="16"/>
        </w:rPr>
        <w:t>Plani i veprimit i OBSH-së për TB për Rajonin e BE-së. Treguesi</w:t>
      </w:r>
      <w:r w:rsidRPr="00832EFD">
        <w:rPr>
          <w:rFonts w:ascii="Book Antiqua" w:hAnsi="Book Antiqua"/>
          <w:sz w:val="16"/>
        </w:rPr>
        <w:t xml:space="preserve"> 2.E.3</w:t>
      </w:r>
    </w:p>
  </w:footnote>
  <w:footnote w:id="45">
    <w:p w:rsidR="00BE71AB" w:rsidRPr="00832EFD" w:rsidRDefault="00BE71AB" w:rsidP="00CC1727">
      <w:pPr>
        <w:pStyle w:val="FootnoteText"/>
        <w:ind w:firstLine="0"/>
        <w:rPr>
          <w:rFonts w:ascii="Book Antiqua" w:hAnsi="Book Antiqua"/>
          <w:sz w:val="16"/>
        </w:rPr>
      </w:pPr>
      <w:r w:rsidRPr="00832EFD">
        <w:rPr>
          <w:rStyle w:val="FootnoteReference"/>
          <w:rFonts w:ascii="Book Antiqua" w:hAnsi="Book Antiqua"/>
          <w:sz w:val="16"/>
        </w:rPr>
        <w:footnoteRef/>
      </w:r>
      <w:r w:rsidRPr="00832EFD">
        <w:rPr>
          <w:rFonts w:ascii="Book Antiqua" w:hAnsi="Book Antiqua" w:cs="Calibri"/>
          <w:color w:val="000000"/>
          <w:sz w:val="16"/>
        </w:rPr>
        <w:t>Propozimi i vendit të Kosovës për Fondin Global. Kërkesa për financim të tranzicionit 2022-2024. Ministria e Shëndetësisë së Kosovës. 2020</w:t>
      </w:r>
    </w:p>
  </w:footnote>
  <w:footnote w:id="46">
    <w:p w:rsidR="00BE71AB" w:rsidRPr="00832EFD" w:rsidRDefault="00BE71AB" w:rsidP="00CC1727">
      <w:pPr>
        <w:pStyle w:val="FootnoteText"/>
        <w:ind w:firstLine="0"/>
        <w:rPr>
          <w:rFonts w:ascii="Book Antiqua" w:hAnsi="Book Antiqua"/>
          <w:sz w:val="16"/>
        </w:rPr>
      </w:pPr>
      <w:r w:rsidRPr="00832EFD">
        <w:rPr>
          <w:rStyle w:val="FootnoteReference"/>
          <w:rFonts w:ascii="Book Antiqua" w:hAnsi="Book Antiqua"/>
          <w:sz w:val="16"/>
        </w:rPr>
        <w:footnoteRef/>
      </w:r>
      <w:r w:rsidRPr="00832EFD">
        <w:rPr>
          <w:rFonts w:ascii="Book Antiqua" w:hAnsi="Book Antiqua" w:cs="Calibri"/>
          <w:color w:val="000000"/>
          <w:sz w:val="16"/>
        </w:rPr>
        <w:t>PLANI I TRANZICIONIT DHE QËNDRUESHMËRISË për HIV dhe TB për Kosovën. 2021-2024. Përgatitur nga MSH e Kosovës përmes mbështetjes teknike nga Fondi Global. Shtator 2021.</w:t>
      </w:r>
    </w:p>
  </w:footnote>
  <w:footnote w:id="47">
    <w:p w:rsidR="00BE71AB" w:rsidRPr="00832EFD" w:rsidRDefault="00BE71AB" w:rsidP="00FB336B">
      <w:pPr>
        <w:rPr>
          <w:rFonts w:ascii="Book Antiqua" w:hAnsi="Book Antiqua"/>
          <w:sz w:val="16"/>
          <w:szCs w:val="16"/>
        </w:rPr>
      </w:pPr>
      <w:r w:rsidRPr="00832EFD">
        <w:rPr>
          <w:rStyle w:val="FootnoteReference"/>
          <w:rFonts w:ascii="Book Antiqua" w:hAnsi="Book Antiqua"/>
          <w:sz w:val="16"/>
          <w:szCs w:val="16"/>
        </w:rPr>
        <w:footnoteRef/>
      </w:r>
      <w:r w:rsidRPr="00832EFD">
        <w:rPr>
          <w:rStyle w:val="FootnoteTextChar"/>
          <w:rFonts w:ascii="Book Antiqua" w:hAnsi="Book Antiqua"/>
          <w:sz w:val="16"/>
          <w:szCs w:val="16"/>
        </w:rPr>
        <w:t>Kuadri i Performancës për Grantin e Tranzicionit të Fondit Global 2022-2024. (dosje e excel: QNA_C_CDF_PF_Aug 11_CDF)</w:t>
      </w:r>
    </w:p>
  </w:footnote>
  <w:footnote w:id="48">
    <w:p w:rsidR="00BE71AB" w:rsidRPr="00832EFD" w:rsidRDefault="00BE71AB" w:rsidP="00FB336B">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Plani i veprimit i OBSH-së për TB për Rajonin e BE-së 2021-2030. Treguesi1.D.2</w:t>
      </w:r>
    </w:p>
  </w:footnote>
  <w:footnote w:id="49">
    <w:p w:rsidR="00BE71AB" w:rsidRPr="00832EFD" w:rsidRDefault="00BE71AB" w:rsidP="001C272F">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Plani i veprimit i OBSH-së për TB për Rajonin e BE-së 2021-2030. Treguesi 1.E.1. Global Top -10 Treguesi (5) Mbulimi i trajtimit të infeksionit latent të TB</w:t>
      </w:r>
    </w:p>
  </w:footnote>
  <w:footnote w:id="50">
    <w:p w:rsidR="00BE71AB" w:rsidRPr="00832EFD" w:rsidRDefault="00BE71AB" w:rsidP="001C272F">
      <w:pPr>
        <w:pStyle w:val="FootnoteText"/>
        <w:ind w:firstLine="0"/>
        <w:rPr>
          <w:rFonts w:ascii="Book Antiqua" w:hAnsi="Book Antiqua"/>
          <w:sz w:val="16"/>
          <w:szCs w:val="16"/>
        </w:rPr>
      </w:pPr>
      <w:r w:rsidRPr="00832EFD">
        <w:rPr>
          <w:rStyle w:val="FootnoteReference"/>
          <w:rFonts w:ascii="Book Antiqua" w:hAnsi="Book Antiqua" w:cs="Cambria"/>
          <w:sz w:val="16"/>
          <w:szCs w:val="16"/>
        </w:rPr>
        <w:footnoteRef/>
      </w:r>
      <w:r w:rsidRPr="00832EFD">
        <w:rPr>
          <w:rFonts w:ascii="Book Antiqua" w:hAnsi="Book Antiqua"/>
          <w:sz w:val="16"/>
          <w:szCs w:val="16"/>
        </w:rPr>
        <w:t>Kërkesa për financim të Kosovës për periudhën e alokimit 2020-2022</w:t>
      </w:r>
    </w:p>
  </w:footnote>
  <w:footnote w:id="51">
    <w:p w:rsidR="00BE71AB" w:rsidRPr="00832EFD" w:rsidRDefault="00BE71AB" w:rsidP="001C272F">
      <w:pPr>
        <w:pStyle w:val="FootnoteText"/>
        <w:ind w:firstLine="0"/>
        <w:rPr>
          <w:rFonts w:ascii="Book Antiqua" w:hAnsi="Book Antiqua"/>
          <w:sz w:val="16"/>
          <w:szCs w:val="16"/>
        </w:rPr>
      </w:pPr>
      <w:r w:rsidRPr="00832EFD">
        <w:rPr>
          <w:rStyle w:val="FootnoteReference"/>
          <w:rFonts w:ascii="Book Antiqua" w:hAnsi="Book Antiqua" w:cs="Cambria"/>
          <w:sz w:val="16"/>
          <w:szCs w:val="16"/>
        </w:rPr>
        <w:footnoteRef/>
      </w:r>
      <w:r w:rsidRPr="00832EFD">
        <w:rPr>
          <w:rFonts w:ascii="Book Antiqua" w:hAnsi="Book Antiqua"/>
          <w:sz w:val="16"/>
          <w:szCs w:val="16"/>
        </w:rPr>
        <w:t>Vlerësimi i gatishmërisë për tranzicion të programeve të Kosovës për HIV dhe TB, Fondacioni Ndërkombëtar Curatio, 2017</w:t>
      </w:r>
    </w:p>
  </w:footnote>
  <w:footnote w:id="52">
    <w:p w:rsidR="00BE71AB" w:rsidRPr="00832EFD" w:rsidRDefault="00BE71AB" w:rsidP="001C272F">
      <w:pPr>
        <w:pStyle w:val="FootnoteText"/>
        <w:ind w:firstLine="0"/>
        <w:rPr>
          <w:rFonts w:ascii="Book Antiqua" w:hAnsi="Book Antiqua"/>
          <w:sz w:val="16"/>
          <w:szCs w:val="16"/>
        </w:rPr>
      </w:pPr>
      <w:r w:rsidRPr="00832EFD">
        <w:rPr>
          <w:rStyle w:val="FootnoteReference"/>
          <w:rFonts w:ascii="Book Antiqua" w:hAnsi="Book Antiqua" w:cs="Arial"/>
          <w:sz w:val="16"/>
          <w:szCs w:val="16"/>
        </w:rPr>
        <w:footnoteRef/>
      </w:r>
      <w:r w:rsidRPr="00832EFD">
        <w:rPr>
          <w:rFonts w:ascii="Book Antiqua" w:hAnsi="Book Antiqua"/>
          <w:sz w:val="16"/>
          <w:szCs w:val="16"/>
        </w:rPr>
        <w:t>PLANI I TRANZICIONIT DHE QËNDRUESHMËRISË për HIV &amp; TB për Kosovën. 2021-2024. Përgatitur nga MSH e Kosovës përmes mbështetjes teknike nga Fondi Global. Shtator 2021.</w:t>
      </w:r>
    </w:p>
  </w:footnote>
  <w:footnote w:id="53">
    <w:p w:rsidR="00BE71AB" w:rsidRPr="00832EFD" w:rsidRDefault="00BE71AB" w:rsidP="001C272F">
      <w:pPr>
        <w:pStyle w:val="FootnoteText"/>
        <w:ind w:firstLine="0"/>
        <w:rPr>
          <w:rFonts w:ascii="Book Antiqua" w:hAnsi="Book Antiqua"/>
          <w:sz w:val="16"/>
          <w:szCs w:val="16"/>
        </w:rPr>
      </w:pPr>
      <w:r w:rsidRPr="00832EFD">
        <w:rPr>
          <w:rStyle w:val="FootnoteReference"/>
          <w:rFonts w:ascii="Book Antiqua" w:hAnsi="Book Antiqua"/>
          <w:sz w:val="16"/>
          <w:szCs w:val="16"/>
        </w:rPr>
        <w:footnoteRef/>
      </w:r>
      <w:r w:rsidRPr="00832EFD">
        <w:rPr>
          <w:rFonts w:ascii="Book Antiqua" w:hAnsi="Book Antiqua"/>
          <w:sz w:val="16"/>
          <w:szCs w:val="16"/>
        </w:rPr>
        <w:t>Identifikimi i çështjeve prioritare për t'u adresuar në Fondin Global HIV-TB të përshtatur për kërkesën për financim të tranzicionit, Joost Hoppenbrouwer, janar 2020</w:t>
      </w:r>
    </w:p>
  </w:footnote>
  <w:footnote w:id="54">
    <w:p w:rsidR="00BE71AB" w:rsidRPr="00832EFD" w:rsidRDefault="00BE71AB" w:rsidP="00B66B69">
      <w:pPr>
        <w:pStyle w:val="FootnoteText"/>
        <w:ind w:firstLine="0"/>
        <w:rPr>
          <w:rFonts w:ascii="Book Antiqua" w:hAnsi="Book Antiqua"/>
          <w:sz w:val="16"/>
        </w:rPr>
      </w:pPr>
      <w:r w:rsidRPr="00832EFD">
        <w:rPr>
          <w:rStyle w:val="FootnoteReference"/>
          <w:rFonts w:ascii="Book Antiqua" w:hAnsi="Book Antiqua" w:cs="Cambria"/>
          <w:sz w:val="16"/>
        </w:rPr>
        <w:footnoteRef/>
      </w:r>
      <w:r w:rsidRPr="00832EFD">
        <w:rPr>
          <w:rFonts w:ascii="Book Antiqua" w:hAnsi="Book Antiqua"/>
          <w:sz w:val="16"/>
        </w:rPr>
        <w:t>Kërkesë për financim të plotë për Mekanizmin të Fondit Global për Reagim kundër COVID-19 (MRC19). 1 prill 2021 – 31 dhjetor 2023. FZHK. Kosovë. Dërguar më 15 qershor 2021</w:t>
      </w:r>
    </w:p>
  </w:footnote>
  <w:footnote w:id="55">
    <w:p w:rsidR="00BE71AB" w:rsidRPr="00832EFD" w:rsidRDefault="00BE71AB" w:rsidP="00B66B69">
      <w:pPr>
        <w:pStyle w:val="FootnoteText"/>
        <w:ind w:firstLine="0"/>
        <w:rPr>
          <w:rFonts w:ascii="Book Antiqua" w:hAnsi="Book Antiqua"/>
          <w:sz w:val="16"/>
        </w:rPr>
      </w:pPr>
      <w:r w:rsidRPr="00832EFD">
        <w:rPr>
          <w:rStyle w:val="FootnoteReference"/>
          <w:rFonts w:ascii="Book Antiqua" w:hAnsi="Book Antiqua" w:cs="Cambria"/>
          <w:sz w:val="16"/>
        </w:rPr>
        <w:footnoteRef/>
      </w:r>
      <w:r w:rsidRPr="00832EFD">
        <w:rPr>
          <w:rFonts w:ascii="Book Antiqua" w:hAnsi="Book Antiqua"/>
          <w:sz w:val="16"/>
        </w:rPr>
        <w:t>Përgjigjet e Ministrisë së Shëndetësisë së Kosovës ndaj rekomandimeve të PRT-së, të nxjerra si reagim ndaj propozimit të grantit për tranzicionin e vendit për HIV/TB, dorëzuar pranë FG në vitin 2020.</w:t>
      </w:r>
    </w:p>
  </w:footnote>
  <w:footnote w:id="56">
    <w:p w:rsidR="00BE71AB" w:rsidRPr="00832EFD" w:rsidRDefault="00BE71AB" w:rsidP="00B66B69">
      <w:pPr>
        <w:pStyle w:val="FootnoteText"/>
        <w:ind w:firstLine="0"/>
        <w:rPr>
          <w:rFonts w:ascii="Book Antiqua" w:hAnsi="Book Antiqua"/>
          <w:sz w:val="16"/>
        </w:rPr>
      </w:pPr>
      <w:r w:rsidRPr="00832EFD">
        <w:rPr>
          <w:rStyle w:val="FootnoteReference"/>
          <w:rFonts w:ascii="Book Antiqua" w:hAnsi="Book Antiqua" w:cs="Cambria"/>
          <w:sz w:val="16"/>
        </w:rPr>
        <w:footnoteRef/>
      </w:r>
      <w:r w:rsidRPr="00832EFD">
        <w:rPr>
          <w:rFonts w:ascii="Book Antiqua" w:hAnsi="Book Antiqua"/>
          <w:sz w:val="16"/>
        </w:rPr>
        <w:t xml:space="preserve">Strategjia Qeveritare për Bashkëpunim me Shoqërinë Civile 2019-2023, Qeveria e Kosovës 2019.; </w:t>
      </w:r>
      <w:hyperlink r:id="rId13" w:history="1">
        <w:r w:rsidRPr="00832EFD">
          <w:rPr>
            <w:rStyle w:val="Hyperlink"/>
            <w:rFonts w:ascii="Book Antiqua" w:hAnsi="Book Antiqua"/>
            <w:sz w:val="16"/>
          </w:rPr>
          <w:t>https://zqm.rks-gov.net/assets/cms/uploads/files/Strategjia%20ne%20tri%20gjuhe.pdf</w:t>
        </w:r>
      </w:hyperlink>
      <w:r w:rsidRPr="00832EFD">
        <w:rPr>
          <w:rFonts w:ascii="Book Antiqua" w:hAnsi="Book Antiqua"/>
          <w:sz w:val="16"/>
        </w:rPr>
        <w:t xml:space="preserve"> </w:t>
      </w:r>
    </w:p>
  </w:footnote>
  <w:footnote w:id="57">
    <w:p w:rsidR="00BE71AB" w:rsidRPr="00832EFD" w:rsidRDefault="00BE71AB" w:rsidP="00B66B69">
      <w:pPr>
        <w:pStyle w:val="FootnoteText"/>
        <w:ind w:firstLine="0"/>
        <w:rPr>
          <w:rFonts w:ascii="Book Antiqua" w:hAnsi="Book Antiqua"/>
          <w:sz w:val="16"/>
        </w:rPr>
      </w:pPr>
      <w:r w:rsidRPr="00832EFD">
        <w:rPr>
          <w:rStyle w:val="FootnoteReference"/>
          <w:rFonts w:ascii="Book Antiqua" w:hAnsi="Book Antiqua" w:cs="Cambria"/>
          <w:sz w:val="16"/>
        </w:rPr>
        <w:footnoteRef/>
      </w:r>
      <w:r w:rsidRPr="00832EFD">
        <w:rPr>
          <w:rFonts w:ascii="Book Antiqua" w:hAnsi="Book Antiqua"/>
          <w:sz w:val="16"/>
        </w:rPr>
        <w:t>Analiza e financimit publik për organizatat e shoqërisë civile që ofrojnë shërbime për HIV në Kosovë, 2019, APMG</w:t>
      </w:r>
    </w:p>
  </w:footnote>
  <w:footnote w:id="58">
    <w:p w:rsidR="00BE71AB" w:rsidRPr="00832EFD" w:rsidRDefault="00BE71AB" w:rsidP="00720C24">
      <w:pPr>
        <w:pStyle w:val="FootnoteText"/>
        <w:ind w:firstLine="0"/>
        <w:rPr>
          <w:rFonts w:ascii="Book Antiqua" w:hAnsi="Book Antiqua"/>
          <w:sz w:val="16"/>
          <w:szCs w:val="16"/>
        </w:rPr>
      </w:pPr>
      <w:r w:rsidRPr="00832EFD">
        <w:rPr>
          <w:rStyle w:val="FootnoteReference"/>
          <w:rFonts w:ascii="Book Antiqua" w:hAnsi="Book Antiqua" w:cs="Arial"/>
          <w:sz w:val="16"/>
          <w:szCs w:val="16"/>
        </w:rPr>
        <w:footnoteRef/>
      </w:r>
      <w:r w:rsidRPr="00832EFD">
        <w:rPr>
          <w:rFonts w:ascii="Book Antiqua" w:hAnsi="Book Antiqua" w:cs="Arial"/>
          <w:sz w:val="16"/>
          <w:szCs w:val="16"/>
        </w:rPr>
        <w:t>Analiza e financimit publik për organizatat e shoqërisë civile që ofrojnë shërbime për HIV në Kosovë, APMG Shëndetësia, Mars 2019. Asnjë nga aplikantët apo projektet e përzgjedhura nuk iu dedikuan shërbimeve për HIV.</w:t>
      </w:r>
    </w:p>
  </w:footnote>
  <w:footnote w:id="59">
    <w:p w:rsidR="00BE71AB" w:rsidRPr="00832EFD" w:rsidRDefault="00BE71AB" w:rsidP="00E90EA1">
      <w:pPr>
        <w:rPr>
          <w:rFonts w:ascii="Book Antiqua" w:hAnsi="Book Antiqua"/>
          <w:sz w:val="16"/>
          <w:szCs w:val="16"/>
        </w:rPr>
      </w:pPr>
      <w:r w:rsidRPr="00832EFD">
        <w:rPr>
          <w:rStyle w:val="FootnoteReference"/>
          <w:rFonts w:ascii="Book Antiqua" w:hAnsi="Book Antiqua"/>
          <w:sz w:val="16"/>
          <w:szCs w:val="16"/>
        </w:rPr>
        <w:footnoteRef/>
      </w:r>
      <w:r w:rsidRPr="00832EFD">
        <w:rPr>
          <w:rStyle w:val="FootnoteTextChar"/>
          <w:rFonts w:ascii="Book Antiqua" w:hAnsi="Book Antiqua"/>
          <w:sz w:val="16"/>
          <w:szCs w:val="16"/>
        </w:rPr>
        <w:t>Arben Isufi, Analiza ligjore e Kontraktimit Social, Fondi i Zhvillimit të Komunitetit</w:t>
      </w:r>
    </w:p>
  </w:footnote>
  <w:footnote w:id="60">
    <w:p w:rsidR="00BE71AB" w:rsidRPr="00832EFD" w:rsidRDefault="00BE71AB" w:rsidP="00E90EA1">
      <w:pPr>
        <w:rPr>
          <w:rFonts w:ascii="Book Antiqua" w:hAnsi="Book Antiqua"/>
          <w:sz w:val="16"/>
          <w:szCs w:val="16"/>
        </w:rPr>
      </w:pPr>
      <w:r w:rsidRPr="00832EFD">
        <w:rPr>
          <w:rStyle w:val="FootnoteTextChar"/>
          <w:rFonts w:ascii="Book Antiqua" w:hAnsi="Book Antiqua"/>
          <w:sz w:val="16"/>
          <w:szCs w:val="16"/>
        </w:rPr>
        <w:footnoteRef/>
      </w:r>
      <w:r>
        <w:rPr>
          <w:rStyle w:val="FootnoteTextChar"/>
          <w:rFonts w:ascii="Book Antiqua" w:hAnsi="Book Antiqua"/>
          <w:sz w:val="16"/>
          <w:szCs w:val="16"/>
        </w:rPr>
        <w:t xml:space="preserve"> </w:t>
      </w:r>
      <w:r w:rsidRPr="00832EFD">
        <w:rPr>
          <w:rStyle w:val="FootnoteTextChar"/>
          <w:rFonts w:ascii="Book Antiqua" w:hAnsi="Book Antiqua"/>
          <w:sz w:val="16"/>
          <w:szCs w:val="16"/>
        </w:rPr>
        <w:t>Propozimi i vendit të Kosovës për Fondin Global. Kërkesa për financim të tranzicionit 2022-2024. Ministria e Shëndetësisë së Kosovës. 2020</w:t>
      </w:r>
    </w:p>
  </w:footnote>
  <w:footnote w:id="61">
    <w:p w:rsidR="00BE71AB" w:rsidRPr="00832EFD" w:rsidRDefault="00BE71AB" w:rsidP="00E90EA1">
      <w:pPr>
        <w:rPr>
          <w:rFonts w:ascii="Book Antiqua" w:hAnsi="Book Antiqua"/>
          <w:sz w:val="16"/>
          <w:szCs w:val="16"/>
        </w:rPr>
      </w:pPr>
      <w:r w:rsidRPr="00832EFD">
        <w:rPr>
          <w:rStyle w:val="FootnoteReference"/>
          <w:rFonts w:ascii="Book Antiqua" w:hAnsi="Book Antiqua" w:cs="Arial"/>
          <w:sz w:val="16"/>
          <w:szCs w:val="16"/>
        </w:rPr>
        <w:footnoteRef/>
      </w:r>
      <w:r w:rsidRPr="00832EFD">
        <w:rPr>
          <w:rStyle w:val="FootnoteTextChar"/>
          <w:rFonts w:ascii="Book Antiqua" w:hAnsi="Book Antiqua"/>
          <w:sz w:val="16"/>
          <w:szCs w:val="16"/>
        </w:rPr>
        <w:t>Vlerësimi i Kapaciteteve të Ministrisë së Shëndetësisë, Kosovë; Korrik 2019. Prishtinë: Price Waterhouse Coopers, 2019</w:t>
      </w:r>
    </w:p>
  </w:footnote>
  <w:footnote w:id="62">
    <w:p w:rsidR="00BE71AB" w:rsidRPr="00832EFD" w:rsidRDefault="00BE71AB" w:rsidP="00E90EA1">
      <w:pPr>
        <w:rPr>
          <w:rFonts w:ascii="Book Antiqua" w:hAnsi="Book Antiqua"/>
          <w:sz w:val="20"/>
        </w:rPr>
      </w:pPr>
      <w:r w:rsidRPr="00832EFD">
        <w:rPr>
          <w:rStyle w:val="FootnoteReference"/>
          <w:rFonts w:ascii="Book Antiqua" w:hAnsi="Book Antiqua" w:cs="Cambria"/>
          <w:color w:val="000000"/>
          <w:sz w:val="16"/>
          <w:szCs w:val="20"/>
        </w:rPr>
        <w:footnoteRef/>
      </w:r>
      <w:r w:rsidRPr="00832EFD">
        <w:rPr>
          <w:rStyle w:val="FootnoteTextChar"/>
          <w:rFonts w:ascii="Book Antiqua" w:hAnsi="Book Antiqua"/>
          <w:sz w:val="16"/>
        </w:rPr>
        <w:t>Vlerësimi i gatishmërisë për tranzicion të programeve të Kosovës për HIV dhe TB, Fondacioni Ndërkombëtar Curatio, 2017</w:t>
      </w:r>
    </w:p>
  </w:footnote>
  <w:footnote w:id="63">
    <w:p w:rsidR="00BE71AB" w:rsidRPr="00832EFD" w:rsidRDefault="00BE71AB" w:rsidP="00E90EA1">
      <w:pPr>
        <w:rPr>
          <w:rFonts w:ascii="Book Antiqua" w:hAnsi="Book Antiqua"/>
          <w:sz w:val="20"/>
        </w:rPr>
      </w:pPr>
      <w:r w:rsidRPr="00832EFD">
        <w:rPr>
          <w:rStyle w:val="FootnoteReference"/>
          <w:rFonts w:ascii="Book Antiqua" w:hAnsi="Book Antiqua" w:cs="Cambria"/>
          <w:sz w:val="16"/>
          <w:szCs w:val="20"/>
        </w:rPr>
        <w:footnoteRef/>
      </w:r>
      <w:r w:rsidRPr="00832EFD">
        <w:rPr>
          <w:rStyle w:val="FootnoteTextChar"/>
          <w:rFonts w:ascii="Book Antiqua" w:hAnsi="Book Antiqua"/>
          <w:sz w:val="16"/>
        </w:rPr>
        <w:t>GLC/Misioni i Evropës për Monitorimin e Zbatimit të Planit Kombëtar të Reagimit kundër M/XDR-TB, 2016</w:t>
      </w:r>
    </w:p>
  </w:footnote>
  <w:footnote w:id="64">
    <w:p w:rsidR="00BE71AB" w:rsidRPr="001935FF" w:rsidRDefault="00BE71AB" w:rsidP="00E90EA1">
      <w:pPr>
        <w:pStyle w:val="CommentText"/>
        <w:spacing w:after="0"/>
        <w:rPr>
          <w:rFonts w:ascii="Book Antiqua" w:hAnsi="Book Antiqua"/>
          <w:sz w:val="16"/>
          <w:lang w:val="sq-AL"/>
        </w:rPr>
      </w:pPr>
      <w:r w:rsidRPr="001935FF">
        <w:rPr>
          <w:rStyle w:val="FootnoteReference"/>
          <w:rFonts w:ascii="Book Antiqua" w:hAnsi="Book Antiqua" w:cs="Cambria"/>
          <w:sz w:val="16"/>
          <w:lang w:val="sq-AL"/>
        </w:rPr>
        <w:footnoteRef/>
      </w:r>
      <w:r w:rsidRPr="001935FF">
        <w:rPr>
          <w:rFonts w:ascii="Book Antiqua" w:hAnsi="Book Antiqua" w:cs="Cambria"/>
          <w:sz w:val="16"/>
          <w:lang w:val="sq-AL"/>
        </w:rPr>
        <w:t xml:space="preserve">Raporti i Llogarive Kombëtare të Shëndetit 2018 </w:t>
      </w:r>
      <w:hyperlink r:id="rId14" w:history="1">
        <w:r w:rsidRPr="001935FF">
          <w:rPr>
            <w:rStyle w:val="Hyperlink"/>
            <w:rFonts w:ascii="Book Antiqua" w:hAnsi="Book Antiqua" w:cs="Cambria"/>
            <w:sz w:val="16"/>
            <w:lang w:val="sq-AL"/>
          </w:rPr>
          <w:t>https://msh.rks-gov.net/sq/publikimet/raportet/</w:t>
        </w:r>
      </w:hyperlink>
    </w:p>
  </w:footnote>
  <w:footnote w:id="65">
    <w:p w:rsidR="00BE71AB" w:rsidRPr="001935FF" w:rsidRDefault="00BE71AB" w:rsidP="002F6364">
      <w:pPr>
        <w:pStyle w:val="FootnoteText"/>
        <w:ind w:firstLine="0"/>
        <w:rPr>
          <w:rFonts w:ascii="Book Antiqua" w:hAnsi="Book Antiqua"/>
          <w:sz w:val="16"/>
        </w:rPr>
      </w:pPr>
      <w:r w:rsidRPr="001935FF">
        <w:rPr>
          <w:rStyle w:val="FootnoteReference"/>
          <w:rFonts w:ascii="Book Antiqua" w:hAnsi="Book Antiqua" w:cs="Calibri"/>
          <w:sz w:val="16"/>
          <w:szCs w:val="18"/>
        </w:rPr>
        <w:footnoteRef/>
      </w:r>
      <w:r w:rsidRPr="001935FF">
        <w:rPr>
          <w:rFonts w:ascii="Book Antiqua" w:hAnsi="Book Antiqua" w:cs="Cambria"/>
          <w:sz w:val="16"/>
          <w:szCs w:val="18"/>
        </w:rPr>
        <w:t xml:space="preserve"> Kërkesa e Kosovës për financim, 2020 </w:t>
      </w:r>
    </w:p>
  </w:footnote>
  <w:footnote w:id="66">
    <w:p w:rsidR="00BE71AB" w:rsidRPr="001935FF" w:rsidRDefault="00BE71AB" w:rsidP="002B72D5">
      <w:pPr>
        <w:pStyle w:val="FootnoteText"/>
        <w:ind w:firstLine="0"/>
        <w:rPr>
          <w:rFonts w:ascii="Book Antiqua" w:hAnsi="Book Antiqua"/>
          <w:sz w:val="16"/>
        </w:rPr>
      </w:pPr>
      <w:r w:rsidRPr="001935FF">
        <w:rPr>
          <w:rStyle w:val="FootnoteReference"/>
          <w:rFonts w:ascii="Book Antiqua" w:hAnsi="Book Antiqua" w:cs="Cambria"/>
          <w:sz w:val="16"/>
        </w:rPr>
        <w:footnoteRef/>
      </w:r>
      <w:r w:rsidRPr="001935FF">
        <w:rPr>
          <w:rFonts w:ascii="Book Antiqua" w:hAnsi="Book Antiqua" w:cs="Cambria"/>
          <w:sz w:val="16"/>
          <w:szCs w:val="18"/>
        </w:rPr>
        <w:t>Kërkesa e Kosovës për financim, 2020</w:t>
      </w:r>
    </w:p>
  </w:footnote>
  <w:footnote w:id="67">
    <w:p w:rsidR="00BE71AB" w:rsidRPr="001935FF" w:rsidRDefault="00BE71AB" w:rsidP="004473F9">
      <w:pPr>
        <w:rPr>
          <w:rFonts w:ascii="Book Antiqua" w:hAnsi="Book Antiqua"/>
          <w:sz w:val="16"/>
          <w:szCs w:val="16"/>
        </w:rPr>
      </w:pPr>
      <w:r w:rsidRPr="001935FF">
        <w:rPr>
          <w:rStyle w:val="FootnoteReference"/>
          <w:rFonts w:ascii="Book Antiqua" w:hAnsi="Book Antiqua" w:cs="Arial"/>
          <w:sz w:val="16"/>
          <w:szCs w:val="16"/>
        </w:rPr>
        <w:footnoteRef/>
      </w:r>
      <w:r w:rsidRPr="001935FF">
        <w:rPr>
          <w:rFonts w:ascii="Book Antiqua" w:hAnsi="Book Antiqua" w:cs="Cambria"/>
          <w:sz w:val="16"/>
          <w:szCs w:val="16"/>
        </w:rPr>
        <w:t>Vlerësimet e fokusuara të vendit Vlerësimi i TB në Kosovë; Vlerësimi i Bazuar në Tavolinë; Korrik 2019. Washington DC, SHBA: APMG Health.</w:t>
      </w:r>
    </w:p>
  </w:footnote>
  <w:footnote w:id="68">
    <w:p w:rsidR="00BE71AB" w:rsidRPr="001935FF" w:rsidRDefault="00BE71AB" w:rsidP="004473F9">
      <w:pPr>
        <w:pStyle w:val="FootnoteText"/>
        <w:ind w:firstLine="0"/>
        <w:rPr>
          <w:rFonts w:ascii="Book Antiqua" w:hAnsi="Book Antiqua"/>
          <w:sz w:val="16"/>
          <w:szCs w:val="16"/>
        </w:rPr>
      </w:pPr>
      <w:r w:rsidRPr="001935FF">
        <w:rPr>
          <w:rStyle w:val="FootnoteReference"/>
          <w:rFonts w:ascii="Book Antiqua" w:hAnsi="Book Antiqua" w:cs="Cambria"/>
          <w:sz w:val="16"/>
          <w:szCs w:val="16"/>
        </w:rPr>
        <w:footnoteRef/>
      </w:r>
      <w:r w:rsidRPr="001935FF">
        <w:rPr>
          <w:rFonts w:ascii="Book Antiqua" w:hAnsi="Book Antiqua" w:cs="Cambria"/>
          <w:sz w:val="16"/>
          <w:szCs w:val="16"/>
        </w:rPr>
        <w:t>Raport me Rekomandim Ex officio, Rasti Nr. 698/2020, për qasjen në shërbimet e kujdesit shëndetësor për personat e prekur nga Virusi i Imunitetit të Njeriut (HIV) dhe TB, gjatë pandemisë COVID-19 në Kosovë, Avokati i Popullit në Kosovë, 2020</w:t>
      </w:r>
    </w:p>
  </w:footnote>
  <w:footnote w:id="69">
    <w:p w:rsidR="00BE71AB" w:rsidRPr="001935FF" w:rsidRDefault="00BE71AB" w:rsidP="004473F9">
      <w:pPr>
        <w:pStyle w:val="FootnoteText"/>
        <w:ind w:firstLine="0"/>
        <w:rPr>
          <w:rFonts w:ascii="Book Antiqua" w:hAnsi="Book Antiqua"/>
          <w:sz w:val="16"/>
          <w:szCs w:val="16"/>
        </w:rPr>
      </w:pPr>
      <w:r w:rsidRPr="001935FF">
        <w:rPr>
          <w:rStyle w:val="FootnoteReference"/>
          <w:rFonts w:ascii="Book Antiqua" w:hAnsi="Book Antiqua" w:cs="Cambria"/>
          <w:sz w:val="16"/>
          <w:szCs w:val="16"/>
        </w:rPr>
        <w:footnoteRef/>
      </w:r>
      <w:r w:rsidRPr="001935FF">
        <w:rPr>
          <w:rFonts w:ascii="Book Antiqua" w:hAnsi="Book Antiqua" w:cs="Cambria"/>
          <w:sz w:val="16"/>
          <w:szCs w:val="16"/>
        </w:rPr>
        <w:t>Një vlerësim i forcimit të sistemeve të komunitetit dhe monitorimit të udhëhequr nga komuniteti në Kosovë, FZHK, 2020</w:t>
      </w:r>
    </w:p>
  </w:footnote>
  <w:footnote w:id="70">
    <w:p w:rsidR="00BE71AB" w:rsidRPr="001935FF" w:rsidRDefault="00BE71AB" w:rsidP="00E90EA1">
      <w:pPr>
        <w:rPr>
          <w:rFonts w:ascii="Book Antiqua" w:hAnsi="Book Antiqua"/>
          <w:sz w:val="16"/>
          <w:szCs w:val="16"/>
        </w:rPr>
      </w:pPr>
      <w:r w:rsidRPr="001935FF">
        <w:rPr>
          <w:rStyle w:val="FootnoteReference"/>
          <w:rFonts w:ascii="Book Antiqua" w:hAnsi="Book Antiqua" w:cs="Calibri"/>
          <w:sz w:val="16"/>
          <w:szCs w:val="16"/>
        </w:rPr>
        <w:footnoteRef/>
      </w:r>
      <w:r w:rsidRPr="001935FF">
        <w:rPr>
          <w:rFonts w:ascii="Book Antiqua" w:hAnsi="Book Antiqua" w:cs="Cambria"/>
          <w:sz w:val="16"/>
          <w:szCs w:val="16"/>
          <w:lang w:eastAsia="en-US"/>
        </w:rPr>
        <w:t>Strategjia për Përmirësimin e Cilësisë dhe Sigurisë së Shërbimeve Shëndetësore 2012-2016, MSH Kosovë, 2012</w:t>
      </w:r>
    </w:p>
  </w:footnote>
  <w:footnote w:id="71">
    <w:p w:rsidR="00BE71AB" w:rsidRPr="001935FF" w:rsidRDefault="00BE71AB" w:rsidP="00DA38C4">
      <w:pPr>
        <w:pStyle w:val="FootnoteText"/>
        <w:ind w:firstLine="0"/>
        <w:rPr>
          <w:rFonts w:ascii="Book Antiqua" w:hAnsi="Book Antiqua" w:cs="Cambria"/>
          <w:sz w:val="16"/>
        </w:rPr>
      </w:pPr>
      <w:r w:rsidRPr="001935FF">
        <w:rPr>
          <w:rStyle w:val="FootnoteReference"/>
          <w:rFonts w:ascii="Book Antiqua" w:hAnsi="Book Antiqua" w:cs="Cambria"/>
          <w:sz w:val="16"/>
        </w:rPr>
        <w:footnoteRef/>
      </w:r>
      <w:r w:rsidRPr="001935FF">
        <w:rPr>
          <w:rFonts w:ascii="Book Antiqua" w:hAnsi="Book Antiqua" w:cs="Cambria"/>
          <w:sz w:val="16"/>
        </w:rPr>
        <w:t>Zyra rajonale e OBSH-së për Evropën. Plani i veprimit i OBSH-së për TB për Rajonin e BE-së. 2016–2020</w:t>
      </w:r>
    </w:p>
    <w:p w:rsidR="00BE71AB" w:rsidRPr="000E0676" w:rsidRDefault="00D75ED6" w:rsidP="00E90EA1">
      <w:pPr>
        <w:pStyle w:val="FootnoteText"/>
      </w:pPr>
      <w:hyperlink r:id="rId15" w:history="1">
        <w:r w:rsidR="00BE71AB" w:rsidRPr="001935FF">
          <w:rPr>
            <w:rStyle w:val="Hyperlink"/>
            <w:rFonts w:ascii="Book Antiqua" w:hAnsi="Book Antiqua" w:cs="Cambria"/>
            <w:sz w:val="16"/>
          </w:rPr>
          <w:t>https://www.euro.who.int/__data/assets/pdf_file/0007/283804/65wd17e_Rev1_TBActionPlan_150588_withCover.pdf</w:t>
        </w:r>
      </w:hyperlink>
    </w:p>
  </w:footnote>
  <w:footnote w:id="72">
    <w:p w:rsidR="00BE71AB" w:rsidRPr="001935FF" w:rsidRDefault="00BE71AB" w:rsidP="0083722A">
      <w:pPr>
        <w:pStyle w:val="FootnoteText"/>
        <w:ind w:firstLine="0"/>
        <w:rPr>
          <w:rFonts w:ascii="Book Antiqua" w:hAnsi="Book Antiqua"/>
          <w:sz w:val="16"/>
        </w:rPr>
      </w:pPr>
      <w:r w:rsidRPr="001935FF">
        <w:rPr>
          <w:rStyle w:val="FootnoteReference"/>
          <w:rFonts w:ascii="Book Antiqua" w:hAnsi="Book Antiqua"/>
          <w:sz w:val="16"/>
        </w:rPr>
        <w:footnoteRef/>
      </w:r>
      <w:r w:rsidRPr="001935FF">
        <w:rPr>
          <w:rFonts w:ascii="Book Antiqua" w:hAnsi="Book Antiqua" w:cs="Cambria"/>
          <w:sz w:val="16"/>
        </w:rPr>
        <w:t xml:space="preserve">OBSH: Përcaktuesit socialë të shëndetit.  </w:t>
      </w:r>
      <w:hyperlink r:id="rId16" w:anchor="tab=tab_1" w:history="1">
        <w:r w:rsidRPr="001935FF">
          <w:rPr>
            <w:rStyle w:val="Hyperlink"/>
            <w:rFonts w:ascii="Book Antiqua" w:hAnsi="Book Antiqua" w:cs="Cambria"/>
            <w:sz w:val="16"/>
          </w:rPr>
          <w:t>https://www.who.int/health-topics/social-determinants-of-health#tab=tab_1</w:t>
        </w:r>
      </w:hyperlink>
    </w:p>
  </w:footnote>
  <w:footnote w:id="73">
    <w:p w:rsidR="00BE71AB" w:rsidRPr="001935FF" w:rsidRDefault="00BE71AB" w:rsidP="0083722A">
      <w:pPr>
        <w:pStyle w:val="FootnoteText"/>
        <w:ind w:firstLine="0"/>
        <w:rPr>
          <w:rFonts w:ascii="Book Antiqua" w:hAnsi="Book Antiqua"/>
          <w:sz w:val="16"/>
        </w:rPr>
      </w:pPr>
      <w:r w:rsidRPr="001935FF">
        <w:rPr>
          <w:rStyle w:val="FootnoteReference"/>
          <w:rFonts w:ascii="Book Antiqua" w:hAnsi="Book Antiqua" w:cs="Cambria"/>
          <w:sz w:val="16"/>
        </w:rPr>
        <w:footnoteRef/>
      </w:r>
      <w:r w:rsidRPr="001935FF">
        <w:rPr>
          <w:rFonts w:ascii="Book Antiqua" w:hAnsi="Book Antiqua" w:cs="Cambria"/>
          <w:sz w:val="16"/>
        </w:rPr>
        <w:t xml:space="preserve"> OBSH. Fleta e të dhënave për tuberkulozin. 14 tetor, 2020  </w:t>
      </w:r>
      <w:hyperlink r:id="rId17" w:history="1">
        <w:r w:rsidRPr="001935FF">
          <w:rPr>
            <w:rStyle w:val="Hyperlink"/>
            <w:rFonts w:ascii="Book Antiqua" w:hAnsi="Book Antiqua" w:cs="Cambria"/>
            <w:sz w:val="16"/>
          </w:rPr>
          <w:t>https://www.who.int/news-room/fact-sheets/detail/tuberculosis</w:t>
        </w:r>
      </w:hyperlink>
    </w:p>
  </w:footnote>
  <w:footnote w:id="74">
    <w:p w:rsidR="00BE71AB" w:rsidRPr="001935FF" w:rsidRDefault="00BE71AB" w:rsidP="0083722A">
      <w:pPr>
        <w:pStyle w:val="FootnoteText"/>
        <w:ind w:firstLine="0"/>
        <w:rPr>
          <w:rFonts w:ascii="Book Antiqua" w:hAnsi="Book Antiqua"/>
          <w:sz w:val="16"/>
        </w:rPr>
      </w:pPr>
      <w:r w:rsidRPr="001935FF">
        <w:rPr>
          <w:rStyle w:val="FootnoteReference"/>
          <w:rFonts w:ascii="Book Antiqua" w:hAnsi="Book Antiqua" w:cs="Cambria"/>
          <w:sz w:val="16"/>
        </w:rPr>
        <w:footnoteRef/>
      </w:r>
      <w:r w:rsidRPr="001935FF">
        <w:rPr>
          <w:rFonts w:ascii="Book Antiqua" w:hAnsi="Book Antiqua" w:cs="Cambria"/>
          <w:color w:val="000000"/>
          <w:sz w:val="16"/>
        </w:rPr>
        <w:t>Propozimi i shtetit të Kosovës për Fondin Global. Kërkesa për financim të tranzicionit 2022-2024. Ministria e Shëndetësisë së Kosovës. 2020</w:t>
      </w:r>
    </w:p>
  </w:footnote>
  <w:footnote w:id="75">
    <w:p w:rsidR="00BE71AB" w:rsidRPr="001935FF" w:rsidRDefault="00BE71AB" w:rsidP="0083722A">
      <w:pPr>
        <w:pStyle w:val="FootnoteText"/>
        <w:ind w:firstLine="0"/>
        <w:rPr>
          <w:rFonts w:ascii="Book Antiqua" w:hAnsi="Book Antiqua"/>
          <w:sz w:val="16"/>
        </w:rPr>
      </w:pPr>
      <w:r w:rsidRPr="001935FF">
        <w:rPr>
          <w:rStyle w:val="FootnoteReference"/>
          <w:rFonts w:ascii="Book Antiqua" w:hAnsi="Book Antiqua" w:cs="Cambria"/>
          <w:sz w:val="16"/>
        </w:rPr>
        <w:footnoteRef/>
      </w:r>
      <w:r w:rsidRPr="001935FF">
        <w:rPr>
          <w:rFonts w:ascii="Book Antiqua" w:hAnsi="Book Antiqua" w:cs="Cambria"/>
          <w:color w:val="000000"/>
          <w:sz w:val="16"/>
        </w:rPr>
        <w:t>Plani i veprimit i OBSH-së për TB për Rajonin e BE-së 2021-2030. Treguesi 2.E.1</w:t>
      </w:r>
    </w:p>
  </w:footnote>
  <w:footnote w:id="76">
    <w:p w:rsidR="00BE71AB" w:rsidRPr="001935FF" w:rsidRDefault="00BE71AB" w:rsidP="0083722A">
      <w:pPr>
        <w:pStyle w:val="FootnoteText"/>
        <w:ind w:firstLine="0"/>
        <w:rPr>
          <w:rFonts w:ascii="Book Antiqua" w:hAnsi="Book Antiqua"/>
          <w:sz w:val="16"/>
        </w:rPr>
      </w:pPr>
      <w:r w:rsidRPr="001935FF">
        <w:rPr>
          <w:rStyle w:val="FootnoteReference"/>
          <w:rFonts w:ascii="Book Antiqua" w:hAnsi="Book Antiqua" w:cs="Cambria"/>
          <w:sz w:val="16"/>
        </w:rPr>
        <w:footnoteRef/>
      </w:r>
      <w:r w:rsidRPr="001935FF">
        <w:rPr>
          <w:rFonts w:ascii="Book Antiqua" w:hAnsi="Book Antiqua" w:cs="Cambria"/>
          <w:color w:val="000000"/>
          <w:sz w:val="16"/>
        </w:rPr>
        <w:t>Plani i veprimit i OBSH-së për TB për Rajonin e BE-së 2021-2030. Treguesi 2.E.4</w:t>
      </w:r>
    </w:p>
  </w:footnote>
  <w:footnote w:id="77">
    <w:p w:rsidR="00BE71AB" w:rsidRPr="000E0676" w:rsidRDefault="00BE71AB" w:rsidP="0083722A">
      <w:pPr>
        <w:pStyle w:val="FootnoteText"/>
        <w:ind w:firstLine="0"/>
      </w:pPr>
      <w:r w:rsidRPr="001935FF">
        <w:rPr>
          <w:rStyle w:val="FootnoteReference"/>
          <w:rFonts w:ascii="Book Antiqua" w:hAnsi="Book Antiqua"/>
          <w:sz w:val="16"/>
        </w:rPr>
        <w:footnoteRef/>
      </w:r>
      <w:r w:rsidRPr="001935FF">
        <w:rPr>
          <w:rFonts w:ascii="Book Antiqua" w:hAnsi="Book Antiqua" w:cs="Cambria"/>
          <w:sz w:val="16"/>
        </w:rPr>
        <w:t xml:space="preserve">Komisioni Evropian. DOKUMENTI I PUNËS SË STAFIT TË KOMISIONIT. Raporti i Kosovës 2020. Shoqërimi i Komunikatës nga Komisioni për Parlamentin Evropian, Këshillin, Komitetin Ekonomik dhe Social Evropian dhe Komitetin e Rajoneve 2020, Komunikata mbi Politikën e Zgjerimit të BE-së  </w:t>
      </w:r>
      <w:hyperlink r:id="rId18" w:history="1">
        <w:r w:rsidRPr="001935FF">
          <w:rPr>
            <w:rStyle w:val="Hyperlink"/>
            <w:rFonts w:ascii="Book Antiqua" w:hAnsi="Book Antiqua" w:cs="Cambria"/>
            <w:sz w:val="16"/>
          </w:rPr>
          <w:t>https://ec.europa.eu/neighbourhood-enlargement/system/files/2020-10/kosovo_report_2020.pdf</w:t>
        </w:r>
      </w:hyperlink>
    </w:p>
  </w:footnote>
  <w:footnote w:id="78">
    <w:p w:rsidR="00BE71AB" w:rsidRPr="001935FF" w:rsidRDefault="00BE71AB" w:rsidP="0083722A">
      <w:pPr>
        <w:pStyle w:val="FootnoteText"/>
        <w:ind w:firstLine="0"/>
        <w:rPr>
          <w:rFonts w:ascii="Book Antiqua" w:hAnsi="Book Antiqua"/>
          <w:sz w:val="16"/>
        </w:rPr>
      </w:pPr>
      <w:r w:rsidRPr="001935FF">
        <w:rPr>
          <w:rStyle w:val="FootnoteReference"/>
          <w:rFonts w:ascii="Book Antiqua" w:hAnsi="Book Antiqua"/>
          <w:sz w:val="16"/>
        </w:rPr>
        <w:footnoteRef/>
      </w:r>
      <w:r w:rsidRPr="001935FF">
        <w:rPr>
          <w:rFonts w:ascii="Book Antiqua" w:hAnsi="Book Antiqua" w:cs="Cambria"/>
          <w:sz w:val="16"/>
        </w:rPr>
        <w:t xml:space="preserve">UNAIDS dhe Partneriteti Stop TB. Instrumentet e vlerësimit gjinor për përgjigjet kombëtare të HIV dhe TB. </w:t>
      </w:r>
      <w:hyperlink r:id="rId19" w:history="1">
        <w:r w:rsidRPr="001935FF">
          <w:rPr>
            <w:rStyle w:val="Hyperlink"/>
            <w:rFonts w:ascii="Book Antiqua" w:hAnsi="Book Antiqua" w:cs="Cambria"/>
            <w:sz w:val="16"/>
          </w:rPr>
          <w:t>http://www.stoptb.org/assets/documents/resources/publications/acsm/Gender_Assessment_Tool_TB_HIV_UNAIDS_FINAL_2016%20ENG.pdf</w:t>
        </w:r>
      </w:hyperlink>
    </w:p>
  </w:footnote>
  <w:footnote w:id="79">
    <w:p w:rsidR="00BE71AB" w:rsidRPr="001935FF" w:rsidRDefault="00BE71AB" w:rsidP="0083722A">
      <w:pPr>
        <w:pStyle w:val="FootnoteText"/>
        <w:ind w:firstLine="0"/>
        <w:rPr>
          <w:rFonts w:ascii="Book Antiqua" w:hAnsi="Book Antiqua" w:cs="Cambria"/>
          <w:sz w:val="16"/>
        </w:rPr>
      </w:pPr>
      <w:r w:rsidRPr="001935FF">
        <w:rPr>
          <w:rStyle w:val="FootnoteReference"/>
          <w:rFonts w:ascii="Book Antiqua" w:hAnsi="Book Antiqua" w:cs="Cambria"/>
          <w:sz w:val="16"/>
        </w:rPr>
        <w:footnoteRef/>
      </w:r>
      <w:r w:rsidRPr="001935FF">
        <w:rPr>
          <w:rFonts w:ascii="Book Antiqua" w:hAnsi="Book Antiqua" w:cs="Cambria"/>
          <w:color w:val="000000"/>
          <w:sz w:val="16"/>
        </w:rPr>
        <w:t>Plani i veprimit i OBSH-së për TB për Rajonin e BE-së 2021-2030. Treguesi 3.A.1</w:t>
      </w:r>
    </w:p>
    <w:p w:rsidR="00BE71AB" w:rsidRPr="000E0676" w:rsidRDefault="00BE71AB" w:rsidP="00E90EA1">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42C"/>
    <w:multiLevelType w:val="multilevel"/>
    <w:tmpl w:val="26F8811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321406B"/>
    <w:multiLevelType w:val="hybridMultilevel"/>
    <w:tmpl w:val="1E52B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D36450"/>
    <w:multiLevelType w:val="hybridMultilevel"/>
    <w:tmpl w:val="1C9AA2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F6A3B"/>
    <w:multiLevelType w:val="multilevel"/>
    <w:tmpl w:val="6CBE53EA"/>
    <w:lvl w:ilvl="0">
      <w:start w:val="3"/>
      <w:numFmt w:val="decimal"/>
      <w:lvlText w:val="%1"/>
      <w:lvlJc w:val="left"/>
      <w:pPr>
        <w:ind w:left="444" w:hanging="444"/>
      </w:pPr>
      <w:rPr>
        <w:rFonts w:cs="Times New Roman" w:hint="default"/>
      </w:rPr>
    </w:lvl>
    <w:lvl w:ilvl="1">
      <w:start w:val="3"/>
      <w:numFmt w:val="decimal"/>
      <w:lvlText w:val="%1.%2"/>
      <w:lvlJc w:val="left"/>
      <w:pPr>
        <w:ind w:left="624" w:hanging="444"/>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4" w15:restartNumberingAfterBreak="0">
    <w:nsid w:val="0CAD077C"/>
    <w:multiLevelType w:val="hybridMultilevel"/>
    <w:tmpl w:val="C5D4F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67CB3"/>
    <w:multiLevelType w:val="multilevel"/>
    <w:tmpl w:val="80D4D306"/>
    <w:lvl w:ilvl="0">
      <w:start w:val="5"/>
      <w:numFmt w:val="decimal"/>
      <w:lvlText w:val="%1"/>
      <w:lvlJc w:val="left"/>
      <w:pPr>
        <w:ind w:left="444" w:hanging="444"/>
      </w:pPr>
      <w:rPr>
        <w:rFonts w:cs="Times New Roman" w:hint="default"/>
      </w:rPr>
    </w:lvl>
    <w:lvl w:ilvl="1">
      <w:start w:val="1"/>
      <w:numFmt w:val="decimal"/>
      <w:lvlText w:val="%1.%2"/>
      <w:lvlJc w:val="left"/>
      <w:pPr>
        <w:ind w:left="624" w:hanging="444"/>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6" w15:restartNumberingAfterBreak="0">
    <w:nsid w:val="1D296664"/>
    <w:multiLevelType w:val="multilevel"/>
    <w:tmpl w:val="A8BCD954"/>
    <w:lvl w:ilvl="0">
      <w:start w:val="5"/>
      <w:numFmt w:val="decimal"/>
      <w:lvlText w:val="%1"/>
      <w:lvlJc w:val="left"/>
      <w:pPr>
        <w:ind w:left="450" w:hanging="450"/>
      </w:pPr>
      <w:rPr>
        <w:rFonts w:hint="default"/>
        <w:b w:val="0"/>
        <w:i w:val="0"/>
      </w:rPr>
    </w:lvl>
    <w:lvl w:ilvl="1">
      <w:start w:val="1"/>
      <w:numFmt w:val="decimal"/>
      <w:lvlText w:val="%1.%2"/>
      <w:lvlJc w:val="left"/>
      <w:pPr>
        <w:ind w:left="450" w:hanging="45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15:restartNumberingAfterBreak="0">
    <w:nsid w:val="20CD153A"/>
    <w:multiLevelType w:val="multilevel"/>
    <w:tmpl w:val="F2484520"/>
    <w:lvl w:ilvl="0">
      <w:start w:val="4"/>
      <w:numFmt w:val="decimal"/>
      <w:lvlText w:val="%1"/>
      <w:lvlJc w:val="left"/>
      <w:pPr>
        <w:ind w:left="444" w:hanging="444"/>
      </w:pPr>
      <w:rPr>
        <w:rFonts w:cs="Times New Roman" w:hint="default"/>
      </w:rPr>
    </w:lvl>
    <w:lvl w:ilvl="1">
      <w:start w:val="3"/>
      <w:numFmt w:val="decimal"/>
      <w:lvlText w:val="%1.%2"/>
      <w:lvlJc w:val="left"/>
      <w:pPr>
        <w:ind w:left="624" w:hanging="444"/>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8" w15:restartNumberingAfterBreak="0">
    <w:nsid w:val="2111329A"/>
    <w:multiLevelType w:val="hybridMultilevel"/>
    <w:tmpl w:val="E592D1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A476E"/>
    <w:multiLevelType w:val="multilevel"/>
    <w:tmpl w:val="1DFA6FCA"/>
    <w:lvl w:ilvl="0">
      <w:start w:val="1"/>
      <w:numFmt w:val="decimal"/>
      <w:lvlText w:val="%1"/>
      <w:lvlJc w:val="left"/>
      <w:pPr>
        <w:ind w:left="444" w:hanging="444"/>
      </w:pPr>
      <w:rPr>
        <w:rFonts w:cs="Times New Roman" w:hint="default"/>
        <w:color w:val="auto"/>
      </w:rPr>
    </w:lvl>
    <w:lvl w:ilvl="1">
      <w:start w:val="3"/>
      <w:numFmt w:val="decimal"/>
      <w:lvlText w:val="%1.%2"/>
      <w:lvlJc w:val="left"/>
      <w:pPr>
        <w:ind w:left="804" w:hanging="444"/>
      </w:pPr>
      <w:rPr>
        <w:rFonts w:cs="Times New Roman" w:hint="default"/>
        <w:color w:val="auto"/>
      </w:rPr>
    </w:lvl>
    <w:lvl w:ilvl="2">
      <w:start w:val="2"/>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320" w:hanging="1440"/>
      </w:pPr>
      <w:rPr>
        <w:rFonts w:cs="Times New Roman" w:hint="default"/>
        <w:color w:val="auto"/>
      </w:rPr>
    </w:lvl>
  </w:abstractNum>
  <w:abstractNum w:abstractNumId="10" w15:restartNumberingAfterBreak="0">
    <w:nsid w:val="25E04AF5"/>
    <w:multiLevelType w:val="multilevel"/>
    <w:tmpl w:val="9EDA983A"/>
    <w:lvl w:ilvl="0">
      <w:start w:val="4"/>
      <w:numFmt w:val="decimal"/>
      <w:lvlText w:val="%1"/>
      <w:lvlJc w:val="left"/>
      <w:pPr>
        <w:ind w:left="450" w:hanging="450"/>
      </w:pPr>
      <w:rPr>
        <w:rFonts w:hint="default"/>
        <w:b w:val="0"/>
        <w:i w:val="0"/>
      </w:rPr>
    </w:lvl>
    <w:lvl w:ilvl="1">
      <w:start w:val="2"/>
      <w:numFmt w:val="decimal"/>
      <w:lvlText w:val="%1.%2"/>
      <w:lvlJc w:val="left"/>
      <w:pPr>
        <w:ind w:left="450" w:hanging="45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2A692AB0"/>
    <w:multiLevelType w:val="multilevel"/>
    <w:tmpl w:val="BE66F3BE"/>
    <w:lvl w:ilvl="0">
      <w:start w:val="3"/>
      <w:numFmt w:val="decimal"/>
      <w:lvlText w:val="%1"/>
      <w:lvlJc w:val="left"/>
      <w:pPr>
        <w:ind w:left="450" w:hanging="450"/>
      </w:pPr>
      <w:rPr>
        <w:rFonts w:hint="default"/>
        <w:b w:val="0"/>
        <w:i w:val="0"/>
      </w:rPr>
    </w:lvl>
    <w:lvl w:ilvl="1">
      <w:start w:val="2"/>
      <w:numFmt w:val="decimal"/>
      <w:lvlText w:val="%1.%2"/>
      <w:lvlJc w:val="left"/>
      <w:pPr>
        <w:ind w:left="450" w:hanging="45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2" w15:restartNumberingAfterBreak="0">
    <w:nsid w:val="330C1DDE"/>
    <w:multiLevelType w:val="multilevel"/>
    <w:tmpl w:val="0BB8D60A"/>
    <w:lvl w:ilvl="0">
      <w:start w:val="4"/>
      <w:numFmt w:val="decimal"/>
      <w:lvlText w:val="%1"/>
      <w:lvlJc w:val="left"/>
      <w:pPr>
        <w:ind w:left="444" w:hanging="444"/>
      </w:pPr>
      <w:rPr>
        <w:rFonts w:cs="Times New Roman" w:hint="default"/>
      </w:rPr>
    </w:lvl>
    <w:lvl w:ilvl="1">
      <w:start w:val="1"/>
      <w:numFmt w:val="decimal"/>
      <w:lvlText w:val="%1.%2"/>
      <w:lvlJc w:val="left"/>
      <w:pPr>
        <w:ind w:left="624" w:hanging="444"/>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3" w15:restartNumberingAfterBreak="0">
    <w:nsid w:val="35DE4198"/>
    <w:multiLevelType w:val="hybridMultilevel"/>
    <w:tmpl w:val="39E449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E4876"/>
    <w:multiLevelType w:val="multilevel"/>
    <w:tmpl w:val="1BBE87AC"/>
    <w:lvl w:ilvl="0">
      <w:start w:val="2"/>
      <w:numFmt w:val="decimal"/>
      <w:lvlText w:val="%1"/>
      <w:lvlJc w:val="left"/>
      <w:pPr>
        <w:ind w:left="444" w:hanging="444"/>
      </w:pPr>
      <w:rPr>
        <w:rFonts w:cs="Times New Roman" w:hint="default"/>
      </w:rPr>
    </w:lvl>
    <w:lvl w:ilvl="1">
      <w:start w:val="2"/>
      <w:numFmt w:val="decimal"/>
      <w:lvlText w:val="%1.%2"/>
      <w:lvlJc w:val="left"/>
      <w:pPr>
        <w:ind w:left="624" w:hanging="444"/>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5" w15:restartNumberingAfterBreak="0">
    <w:nsid w:val="3A591F46"/>
    <w:multiLevelType w:val="multilevel"/>
    <w:tmpl w:val="0876D0A4"/>
    <w:lvl w:ilvl="0">
      <w:start w:val="4"/>
      <w:numFmt w:val="decimal"/>
      <w:lvlText w:val="%1"/>
      <w:lvlJc w:val="left"/>
      <w:pPr>
        <w:ind w:left="444" w:hanging="444"/>
      </w:pPr>
      <w:rPr>
        <w:rFonts w:cs="Times New Roman" w:hint="default"/>
      </w:rPr>
    </w:lvl>
    <w:lvl w:ilvl="1">
      <w:start w:val="2"/>
      <w:numFmt w:val="decimal"/>
      <w:lvlText w:val="%1.%2"/>
      <w:lvlJc w:val="left"/>
      <w:pPr>
        <w:ind w:left="624" w:hanging="444"/>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6" w15:restartNumberingAfterBreak="0">
    <w:nsid w:val="3AAF1B35"/>
    <w:multiLevelType w:val="multilevel"/>
    <w:tmpl w:val="D6120900"/>
    <w:lvl w:ilvl="0">
      <w:start w:val="1"/>
      <w:numFmt w:val="decimal"/>
      <w:lvlText w:val="%1"/>
      <w:lvlJc w:val="left"/>
      <w:pPr>
        <w:ind w:left="444" w:hanging="444"/>
      </w:pPr>
      <w:rPr>
        <w:rFonts w:cs="Times New Roman" w:hint="default"/>
      </w:rPr>
    </w:lvl>
    <w:lvl w:ilvl="1">
      <w:start w:val="4"/>
      <w:numFmt w:val="decimal"/>
      <w:lvlText w:val="%1.%2"/>
      <w:lvlJc w:val="left"/>
      <w:pPr>
        <w:ind w:left="624" w:hanging="444"/>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7" w15:restartNumberingAfterBreak="0">
    <w:nsid w:val="3BF0325E"/>
    <w:multiLevelType w:val="multilevel"/>
    <w:tmpl w:val="DE1EBAFC"/>
    <w:lvl w:ilvl="0">
      <w:start w:val="3"/>
      <w:numFmt w:val="decimal"/>
      <w:lvlText w:val="%1"/>
      <w:lvlJc w:val="left"/>
      <w:pPr>
        <w:ind w:left="450" w:hanging="450"/>
      </w:pPr>
      <w:rPr>
        <w:rFonts w:hint="default"/>
        <w:b w:val="0"/>
        <w:i w:val="0"/>
      </w:rPr>
    </w:lvl>
    <w:lvl w:ilvl="1">
      <w:start w:val="2"/>
      <w:numFmt w:val="decimal"/>
      <w:lvlText w:val="%1.%2"/>
      <w:lvlJc w:val="left"/>
      <w:pPr>
        <w:ind w:left="450" w:hanging="45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8" w15:restartNumberingAfterBreak="0">
    <w:nsid w:val="3C8C12AD"/>
    <w:multiLevelType w:val="multilevel"/>
    <w:tmpl w:val="334EBF04"/>
    <w:lvl w:ilvl="0">
      <w:start w:val="3"/>
      <w:numFmt w:val="decimal"/>
      <w:lvlText w:val="%1"/>
      <w:lvlJc w:val="left"/>
      <w:pPr>
        <w:ind w:left="444" w:hanging="444"/>
      </w:pPr>
      <w:rPr>
        <w:rFonts w:cs="Times New Roman" w:hint="default"/>
      </w:rPr>
    </w:lvl>
    <w:lvl w:ilvl="1">
      <w:start w:val="2"/>
      <w:numFmt w:val="decimal"/>
      <w:lvlText w:val="%1.%2"/>
      <w:lvlJc w:val="left"/>
      <w:pPr>
        <w:ind w:left="624" w:hanging="444"/>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9" w15:restartNumberingAfterBreak="0">
    <w:nsid w:val="3D076DBA"/>
    <w:multiLevelType w:val="multilevel"/>
    <w:tmpl w:val="7758F484"/>
    <w:lvl w:ilvl="0">
      <w:start w:val="3"/>
      <w:numFmt w:val="decimal"/>
      <w:lvlText w:val="%1"/>
      <w:lvlJc w:val="left"/>
      <w:pPr>
        <w:ind w:left="444" w:hanging="444"/>
      </w:pPr>
      <w:rPr>
        <w:rFonts w:cs="Times New Roman" w:hint="default"/>
      </w:rPr>
    </w:lvl>
    <w:lvl w:ilvl="1">
      <w:start w:val="5"/>
      <w:numFmt w:val="decimal"/>
      <w:lvlText w:val="%1.%2"/>
      <w:lvlJc w:val="left"/>
      <w:pPr>
        <w:ind w:left="624" w:hanging="444"/>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20" w15:restartNumberingAfterBreak="0">
    <w:nsid w:val="3F776EB8"/>
    <w:multiLevelType w:val="multilevel"/>
    <w:tmpl w:val="C8BAFCA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E053B3"/>
    <w:multiLevelType w:val="multilevel"/>
    <w:tmpl w:val="83223AAE"/>
    <w:lvl w:ilvl="0">
      <w:start w:val="3"/>
      <w:numFmt w:val="decimal"/>
      <w:lvlText w:val="%1"/>
      <w:lvlJc w:val="left"/>
      <w:pPr>
        <w:ind w:left="444" w:hanging="444"/>
      </w:pPr>
      <w:rPr>
        <w:rFonts w:cs="Times New Roman" w:hint="default"/>
      </w:rPr>
    </w:lvl>
    <w:lvl w:ilvl="1">
      <w:start w:val="4"/>
      <w:numFmt w:val="decimal"/>
      <w:lvlText w:val="%1.%2"/>
      <w:lvlJc w:val="left"/>
      <w:pPr>
        <w:ind w:left="624" w:hanging="444"/>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22"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cs="Times New Roman" w:hint="default"/>
      </w:rPr>
    </w:lvl>
    <w:lvl w:ilvl="1">
      <w:start w:val="1"/>
      <w:numFmt w:val="lowerRoman"/>
      <w:pStyle w:val="AlphaList2"/>
      <w:lvlText w:val="%2."/>
      <w:lvlJc w:val="left"/>
      <w:pPr>
        <w:tabs>
          <w:tab w:val="num" w:pos="794"/>
        </w:tabs>
        <w:ind w:left="794" w:hanging="397"/>
      </w:pPr>
      <w:rPr>
        <w:rFonts w:cs="Times New Roman" w:hint="default"/>
      </w:rPr>
    </w:lvl>
    <w:lvl w:ilvl="2">
      <w:start w:val="1"/>
      <w:numFmt w:val="none"/>
      <w:suff w:val="nothing"/>
      <w:lvlText w:val=""/>
      <w:lvlJc w:val="left"/>
      <w:pPr>
        <w:ind w:left="794" w:hanging="397"/>
      </w:pPr>
      <w:rPr>
        <w:rFonts w:cs="Times New Roman" w:hint="default"/>
      </w:rPr>
    </w:lvl>
    <w:lvl w:ilvl="3">
      <w:start w:val="1"/>
      <w:numFmt w:val="none"/>
      <w:suff w:val="nothing"/>
      <w:lvlText w:val=""/>
      <w:lvlJc w:val="left"/>
      <w:pPr>
        <w:ind w:left="794" w:hanging="397"/>
      </w:pPr>
      <w:rPr>
        <w:rFonts w:cs="Times New Roman" w:hint="default"/>
      </w:rPr>
    </w:lvl>
    <w:lvl w:ilvl="4">
      <w:start w:val="1"/>
      <w:numFmt w:val="none"/>
      <w:suff w:val="nothing"/>
      <w:lvlText w:val=""/>
      <w:lvlJc w:val="left"/>
      <w:pPr>
        <w:ind w:left="794" w:hanging="397"/>
      </w:pPr>
      <w:rPr>
        <w:rFonts w:cs="Times New Roman" w:hint="default"/>
      </w:rPr>
    </w:lvl>
    <w:lvl w:ilvl="5">
      <w:start w:val="1"/>
      <w:numFmt w:val="none"/>
      <w:suff w:val="nothing"/>
      <w:lvlText w:val=""/>
      <w:lvlJc w:val="left"/>
      <w:pPr>
        <w:ind w:left="794" w:hanging="397"/>
      </w:pPr>
      <w:rPr>
        <w:rFonts w:cs="Times New Roman" w:hint="default"/>
      </w:rPr>
    </w:lvl>
    <w:lvl w:ilvl="6">
      <w:start w:val="1"/>
      <w:numFmt w:val="none"/>
      <w:suff w:val="nothing"/>
      <w:lvlText w:val=""/>
      <w:lvlJc w:val="left"/>
      <w:pPr>
        <w:ind w:left="794" w:hanging="397"/>
      </w:pPr>
      <w:rPr>
        <w:rFonts w:cs="Times New Roman" w:hint="default"/>
      </w:rPr>
    </w:lvl>
    <w:lvl w:ilvl="7">
      <w:start w:val="1"/>
      <w:numFmt w:val="none"/>
      <w:suff w:val="nothing"/>
      <w:lvlText w:val=""/>
      <w:lvlJc w:val="left"/>
      <w:pPr>
        <w:ind w:left="794" w:hanging="397"/>
      </w:pPr>
      <w:rPr>
        <w:rFonts w:cs="Times New Roman" w:hint="default"/>
      </w:rPr>
    </w:lvl>
    <w:lvl w:ilvl="8">
      <w:start w:val="1"/>
      <w:numFmt w:val="none"/>
      <w:lvlRestart w:val="0"/>
      <w:suff w:val="nothing"/>
      <w:lvlText w:val=""/>
      <w:lvlJc w:val="left"/>
      <w:pPr>
        <w:ind w:left="794" w:hanging="397"/>
      </w:pPr>
      <w:rPr>
        <w:rFonts w:cs="Times New Roman" w:hint="default"/>
      </w:rPr>
    </w:lvl>
  </w:abstractNum>
  <w:abstractNum w:abstractNumId="23" w15:restartNumberingAfterBreak="0">
    <w:nsid w:val="4AEE5ADF"/>
    <w:multiLevelType w:val="multilevel"/>
    <w:tmpl w:val="CE4851A2"/>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7C6E24"/>
    <w:multiLevelType w:val="multilevel"/>
    <w:tmpl w:val="400EB9A6"/>
    <w:lvl w:ilvl="0">
      <w:start w:val="4"/>
      <w:numFmt w:val="decimal"/>
      <w:lvlText w:val="%1"/>
      <w:lvlJc w:val="left"/>
      <w:pPr>
        <w:ind w:left="450" w:hanging="450"/>
      </w:pPr>
      <w:rPr>
        <w:rFonts w:hint="default"/>
        <w:b w:val="0"/>
        <w:i w:val="0"/>
      </w:rPr>
    </w:lvl>
    <w:lvl w:ilvl="1">
      <w:start w:val="3"/>
      <w:numFmt w:val="decimal"/>
      <w:lvlText w:val="%1.%2"/>
      <w:lvlJc w:val="left"/>
      <w:pPr>
        <w:ind w:left="450" w:hanging="45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5" w15:restartNumberingAfterBreak="0">
    <w:nsid w:val="4ECF31C0"/>
    <w:multiLevelType w:val="multilevel"/>
    <w:tmpl w:val="17A0D06E"/>
    <w:numStyleLink w:val="NumbListAlpha"/>
  </w:abstractNum>
  <w:abstractNum w:abstractNumId="26" w15:restartNumberingAfterBreak="0">
    <w:nsid w:val="4F245D30"/>
    <w:multiLevelType w:val="multilevel"/>
    <w:tmpl w:val="74266610"/>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C50973"/>
    <w:multiLevelType w:val="multilevel"/>
    <w:tmpl w:val="7AE4023E"/>
    <w:lvl w:ilvl="0">
      <w:start w:val="3"/>
      <w:numFmt w:val="decimal"/>
      <w:lvlText w:val="%1"/>
      <w:lvlJc w:val="left"/>
      <w:pPr>
        <w:ind w:left="450" w:hanging="450"/>
      </w:pPr>
      <w:rPr>
        <w:rFonts w:hint="default"/>
        <w:b w:val="0"/>
        <w:i w:val="0"/>
      </w:rPr>
    </w:lvl>
    <w:lvl w:ilvl="1">
      <w:start w:val="1"/>
      <w:numFmt w:val="decimal"/>
      <w:lvlText w:val="%1.%2"/>
      <w:lvlJc w:val="left"/>
      <w:pPr>
        <w:ind w:left="450" w:hanging="45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15:restartNumberingAfterBreak="0">
    <w:nsid w:val="54B31D95"/>
    <w:multiLevelType w:val="hybridMultilevel"/>
    <w:tmpl w:val="0D560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86AE5"/>
    <w:multiLevelType w:val="multilevel"/>
    <w:tmpl w:val="4BC43346"/>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8084BBE"/>
    <w:multiLevelType w:val="multilevel"/>
    <w:tmpl w:val="E460E85E"/>
    <w:lvl w:ilvl="0">
      <w:start w:val="3"/>
      <w:numFmt w:val="decimal"/>
      <w:lvlText w:val="%1"/>
      <w:lvlJc w:val="left"/>
      <w:pPr>
        <w:ind w:left="450" w:hanging="450"/>
      </w:pPr>
      <w:rPr>
        <w:rFonts w:hint="default"/>
        <w:b w:val="0"/>
        <w:i w:val="0"/>
      </w:rPr>
    </w:lvl>
    <w:lvl w:ilvl="1">
      <w:start w:val="5"/>
      <w:numFmt w:val="decimal"/>
      <w:lvlText w:val="%1.%2"/>
      <w:lvlJc w:val="left"/>
      <w:pPr>
        <w:ind w:left="450" w:hanging="45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1" w15:restartNumberingAfterBreak="0">
    <w:nsid w:val="689563D9"/>
    <w:multiLevelType w:val="multilevel"/>
    <w:tmpl w:val="8DF091DC"/>
    <w:lvl w:ilvl="0">
      <w:start w:val="3"/>
      <w:numFmt w:val="decimal"/>
      <w:lvlText w:val="%1"/>
      <w:lvlJc w:val="left"/>
      <w:pPr>
        <w:ind w:left="444" w:hanging="444"/>
      </w:pPr>
      <w:rPr>
        <w:rFonts w:cs="Times New Roman" w:hint="default"/>
      </w:rPr>
    </w:lvl>
    <w:lvl w:ilvl="1">
      <w:start w:val="1"/>
      <w:numFmt w:val="decimal"/>
      <w:lvlText w:val="%1.%2"/>
      <w:lvlJc w:val="left"/>
      <w:pPr>
        <w:ind w:left="624" w:hanging="444"/>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32" w15:restartNumberingAfterBreak="0">
    <w:nsid w:val="692752BA"/>
    <w:multiLevelType w:val="hybridMultilevel"/>
    <w:tmpl w:val="F36C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561CE"/>
    <w:multiLevelType w:val="multilevel"/>
    <w:tmpl w:val="B8423EF0"/>
    <w:lvl w:ilvl="0">
      <w:start w:val="1"/>
      <w:numFmt w:val="decimal"/>
      <w:lvlText w:val="%1."/>
      <w:lvlJc w:val="left"/>
      <w:pPr>
        <w:ind w:left="504" w:hanging="504"/>
      </w:pPr>
      <w:rPr>
        <w:rFonts w:cs="Times New Roman" w:hint="default"/>
      </w:rPr>
    </w:lvl>
    <w:lvl w:ilvl="1">
      <w:start w:val="3"/>
      <w:numFmt w:val="decimal"/>
      <w:lvlText w:val="%1.%2."/>
      <w:lvlJc w:val="left"/>
      <w:pPr>
        <w:ind w:left="864" w:hanging="5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15:restartNumberingAfterBreak="0">
    <w:nsid w:val="735A1882"/>
    <w:multiLevelType w:val="hybridMultilevel"/>
    <w:tmpl w:val="CD942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31722"/>
    <w:multiLevelType w:val="hybridMultilevel"/>
    <w:tmpl w:val="6B229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414BA"/>
    <w:multiLevelType w:val="multilevel"/>
    <w:tmpl w:val="A32C4A9C"/>
    <w:lvl w:ilvl="0">
      <w:start w:val="2"/>
      <w:numFmt w:val="decimal"/>
      <w:lvlText w:val="%1"/>
      <w:lvlJc w:val="left"/>
      <w:pPr>
        <w:ind w:left="444" w:hanging="444"/>
      </w:pPr>
      <w:rPr>
        <w:rFonts w:cs="Times New Roman" w:hint="default"/>
      </w:rPr>
    </w:lvl>
    <w:lvl w:ilvl="1">
      <w:start w:val="1"/>
      <w:numFmt w:val="decimal"/>
      <w:lvlText w:val="%1.%2"/>
      <w:lvlJc w:val="left"/>
      <w:pPr>
        <w:ind w:left="624" w:hanging="444"/>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37" w15:restartNumberingAfterBreak="0">
    <w:nsid w:val="78895F2F"/>
    <w:multiLevelType w:val="multilevel"/>
    <w:tmpl w:val="D192740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DF22DE"/>
    <w:multiLevelType w:val="hybridMultilevel"/>
    <w:tmpl w:val="D2186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F7E1D"/>
    <w:multiLevelType w:val="multilevel"/>
    <w:tmpl w:val="FAB22B12"/>
    <w:lvl w:ilvl="0">
      <w:start w:val="1"/>
      <w:numFmt w:val="decimal"/>
      <w:lvlText w:val="%1"/>
      <w:lvlJc w:val="left"/>
      <w:pPr>
        <w:ind w:left="444" w:hanging="444"/>
      </w:pPr>
      <w:rPr>
        <w:rFonts w:cs="Times New Roman" w:hint="default"/>
      </w:rPr>
    </w:lvl>
    <w:lvl w:ilvl="1">
      <w:start w:val="2"/>
      <w:numFmt w:val="decimal"/>
      <w:lvlText w:val="%1.%2"/>
      <w:lvlJc w:val="left"/>
      <w:pPr>
        <w:ind w:left="624" w:hanging="444"/>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40" w15:restartNumberingAfterBreak="0">
    <w:nsid w:val="7B1A5D4C"/>
    <w:multiLevelType w:val="multilevel"/>
    <w:tmpl w:val="E864C282"/>
    <w:lvl w:ilvl="0">
      <w:start w:val="1"/>
      <w:numFmt w:val="decimal"/>
      <w:lvlText w:val="%1"/>
      <w:lvlJc w:val="left"/>
      <w:pPr>
        <w:ind w:left="450" w:hanging="450"/>
      </w:pPr>
      <w:rPr>
        <w:rFonts w:hint="default"/>
        <w:b w:val="0"/>
        <w:i w:val="0"/>
      </w:rPr>
    </w:lvl>
    <w:lvl w:ilvl="1">
      <w:start w:val="4"/>
      <w:numFmt w:val="decimal"/>
      <w:lvlText w:val="%1.%2"/>
      <w:lvlJc w:val="left"/>
      <w:pPr>
        <w:ind w:left="450" w:hanging="45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1" w15:restartNumberingAfterBreak="0">
    <w:nsid w:val="7D37773E"/>
    <w:multiLevelType w:val="multilevel"/>
    <w:tmpl w:val="D4A6A37A"/>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E432D6"/>
    <w:multiLevelType w:val="multilevel"/>
    <w:tmpl w:val="E3D05EDA"/>
    <w:lvl w:ilvl="0">
      <w:start w:val="1"/>
      <w:numFmt w:val="decimal"/>
      <w:lvlText w:val="%1"/>
      <w:lvlJc w:val="left"/>
      <w:pPr>
        <w:ind w:left="450" w:hanging="450"/>
      </w:pPr>
      <w:rPr>
        <w:rFonts w:hint="default"/>
        <w:b w:val="0"/>
        <w:i w:val="0"/>
      </w:rPr>
    </w:lvl>
    <w:lvl w:ilvl="1">
      <w:start w:val="2"/>
      <w:numFmt w:val="decimal"/>
      <w:lvlText w:val="%1.%2"/>
      <w:lvlJc w:val="left"/>
      <w:pPr>
        <w:ind w:left="450" w:hanging="45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28"/>
  </w:num>
  <w:num w:numId="2">
    <w:abstractNumId w:val="4"/>
  </w:num>
  <w:num w:numId="3">
    <w:abstractNumId w:val="32"/>
  </w:num>
  <w:num w:numId="4">
    <w:abstractNumId w:val="29"/>
  </w:num>
  <w:num w:numId="5">
    <w:abstractNumId w:val="39"/>
  </w:num>
  <w:num w:numId="6">
    <w:abstractNumId w:val="33"/>
  </w:num>
  <w:num w:numId="7">
    <w:abstractNumId w:val="9"/>
  </w:num>
  <w:num w:numId="8">
    <w:abstractNumId w:val="16"/>
  </w:num>
  <w:num w:numId="9">
    <w:abstractNumId w:val="36"/>
  </w:num>
  <w:num w:numId="10">
    <w:abstractNumId w:val="14"/>
  </w:num>
  <w:num w:numId="11">
    <w:abstractNumId w:val="31"/>
  </w:num>
  <w:num w:numId="12">
    <w:abstractNumId w:val="18"/>
  </w:num>
  <w:num w:numId="13">
    <w:abstractNumId w:val="3"/>
  </w:num>
  <w:num w:numId="14">
    <w:abstractNumId w:val="21"/>
  </w:num>
  <w:num w:numId="15">
    <w:abstractNumId w:val="19"/>
  </w:num>
  <w:num w:numId="16">
    <w:abstractNumId w:val="12"/>
  </w:num>
  <w:num w:numId="17">
    <w:abstractNumId w:val="15"/>
  </w:num>
  <w:num w:numId="18">
    <w:abstractNumId w:val="7"/>
  </w:num>
  <w:num w:numId="19">
    <w:abstractNumId w:val="5"/>
  </w:num>
  <w:num w:numId="20">
    <w:abstractNumId w:val="34"/>
  </w:num>
  <w:num w:numId="21">
    <w:abstractNumId w:val="2"/>
  </w:num>
  <w:num w:numId="22">
    <w:abstractNumId w:val="8"/>
  </w:num>
  <w:num w:numId="23">
    <w:abstractNumId w:val="13"/>
  </w:num>
  <w:num w:numId="24">
    <w:abstractNumId w:val="35"/>
  </w:num>
  <w:num w:numId="25">
    <w:abstractNumId w:val="22"/>
  </w:num>
  <w:num w:numId="26">
    <w:abstractNumId w:val="25"/>
  </w:num>
  <w:num w:numId="27">
    <w:abstractNumId w:val="38"/>
  </w:num>
  <w:num w:numId="28">
    <w:abstractNumId w:val="1"/>
  </w:num>
  <w:num w:numId="29">
    <w:abstractNumId w:val="37"/>
  </w:num>
  <w:num w:numId="30">
    <w:abstractNumId w:val="20"/>
  </w:num>
  <w:num w:numId="31">
    <w:abstractNumId w:val="42"/>
  </w:num>
  <w:num w:numId="32">
    <w:abstractNumId w:val="40"/>
  </w:num>
  <w:num w:numId="33">
    <w:abstractNumId w:val="41"/>
  </w:num>
  <w:num w:numId="34">
    <w:abstractNumId w:val="26"/>
  </w:num>
  <w:num w:numId="35">
    <w:abstractNumId w:val="27"/>
  </w:num>
  <w:num w:numId="36">
    <w:abstractNumId w:val="11"/>
  </w:num>
  <w:num w:numId="37">
    <w:abstractNumId w:val="17"/>
  </w:num>
  <w:num w:numId="38">
    <w:abstractNumId w:val="30"/>
  </w:num>
  <w:num w:numId="39">
    <w:abstractNumId w:val="23"/>
  </w:num>
  <w:num w:numId="40">
    <w:abstractNumId w:val="10"/>
  </w:num>
  <w:num w:numId="41">
    <w:abstractNumId w:val="24"/>
  </w:num>
  <w:num w:numId="42">
    <w:abstractNumId w:val="6"/>
  </w:num>
  <w:num w:numId="43">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9D"/>
    <w:rsid w:val="0000070C"/>
    <w:rsid w:val="00000E73"/>
    <w:rsid w:val="00011A46"/>
    <w:rsid w:val="00013AF1"/>
    <w:rsid w:val="000157F9"/>
    <w:rsid w:val="00016699"/>
    <w:rsid w:val="00021572"/>
    <w:rsid w:val="00021669"/>
    <w:rsid w:val="000221AF"/>
    <w:rsid w:val="00025863"/>
    <w:rsid w:val="00025B62"/>
    <w:rsid w:val="00032C42"/>
    <w:rsid w:val="00033E74"/>
    <w:rsid w:val="00037D8D"/>
    <w:rsid w:val="00042745"/>
    <w:rsid w:val="00050BF8"/>
    <w:rsid w:val="0006400C"/>
    <w:rsid w:val="000657C5"/>
    <w:rsid w:val="000669D8"/>
    <w:rsid w:val="00071DB2"/>
    <w:rsid w:val="00080379"/>
    <w:rsid w:val="000806F8"/>
    <w:rsid w:val="00080780"/>
    <w:rsid w:val="00081E3C"/>
    <w:rsid w:val="00082023"/>
    <w:rsid w:val="00084CC0"/>
    <w:rsid w:val="000856DC"/>
    <w:rsid w:val="00087DDD"/>
    <w:rsid w:val="0009179F"/>
    <w:rsid w:val="0009748B"/>
    <w:rsid w:val="000A17EF"/>
    <w:rsid w:val="000A2138"/>
    <w:rsid w:val="000A2DF5"/>
    <w:rsid w:val="000A640A"/>
    <w:rsid w:val="000B0F5F"/>
    <w:rsid w:val="000B3084"/>
    <w:rsid w:val="000B4B9C"/>
    <w:rsid w:val="000C33BD"/>
    <w:rsid w:val="000C4047"/>
    <w:rsid w:val="000C4446"/>
    <w:rsid w:val="000C4B1E"/>
    <w:rsid w:val="000C767C"/>
    <w:rsid w:val="000D1ABE"/>
    <w:rsid w:val="000D7754"/>
    <w:rsid w:val="000E0676"/>
    <w:rsid w:val="000E15FA"/>
    <w:rsid w:val="000E180D"/>
    <w:rsid w:val="000E204F"/>
    <w:rsid w:val="000E4D95"/>
    <w:rsid w:val="000F18C0"/>
    <w:rsid w:val="000F58A5"/>
    <w:rsid w:val="000F6EC2"/>
    <w:rsid w:val="00100E9B"/>
    <w:rsid w:val="001043A6"/>
    <w:rsid w:val="001101A1"/>
    <w:rsid w:val="001145DB"/>
    <w:rsid w:val="0011610A"/>
    <w:rsid w:val="00121B64"/>
    <w:rsid w:val="00122174"/>
    <w:rsid w:val="00124BB1"/>
    <w:rsid w:val="00127437"/>
    <w:rsid w:val="001300E3"/>
    <w:rsid w:val="001354FB"/>
    <w:rsid w:val="00135BB6"/>
    <w:rsid w:val="0013666C"/>
    <w:rsid w:val="0014143D"/>
    <w:rsid w:val="0014450D"/>
    <w:rsid w:val="001445A2"/>
    <w:rsid w:val="00145539"/>
    <w:rsid w:val="0014583F"/>
    <w:rsid w:val="0015211A"/>
    <w:rsid w:val="00153485"/>
    <w:rsid w:val="001536D9"/>
    <w:rsid w:val="00155782"/>
    <w:rsid w:val="00157DD5"/>
    <w:rsid w:val="001630A3"/>
    <w:rsid w:val="0016341E"/>
    <w:rsid w:val="00164685"/>
    <w:rsid w:val="00164B36"/>
    <w:rsid w:val="00165705"/>
    <w:rsid w:val="0016674C"/>
    <w:rsid w:val="0016772D"/>
    <w:rsid w:val="00185969"/>
    <w:rsid w:val="0018744C"/>
    <w:rsid w:val="0018755B"/>
    <w:rsid w:val="0019163E"/>
    <w:rsid w:val="001935FF"/>
    <w:rsid w:val="001A0AF2"/>
    <w:rsid w:val="001A133A"/>
    <w:rsid w:val="001A3D27"/>
    <w:rsid w:val="001A55FC"/>
    <w:rsid w:val="001A6F3A"/>
    <w:rsid w:val="001B0257"/>
    <w:rsid w:val="001B0CEA"/>
    <w:rsid w:val="001B24EC"/>
    <w:rsid w:val="001B4AEC"/>
    <w:rsid w:val="001B76B4"/>
    <w:rsid w:val="001C0F7F"/>
    <w:rsid w:val="001C272F"/>
    <w:rsid w:val="001C2976"/>
    <w:rsid w:val="001C5A46"/>
    <w:rsid w:val="001D029D"/>
    <w:rsid w:val="001D12D7"/>
    <w:rsid w:val="001D1325"/>
    <w:rsid w:val="001D39EA"/>
    <w:rsid w:val="001D495B"/>
    <w:rsid w:val="001D505F"/>
    <w:rsid w:val="001E1990"/>
    <w:rsid w:val="001E2399"/>
    <w:rsid w:val="001E497A"/>
    <w:rsid w:val="001E53F6"/>
    <w:rsid w:val="001F00A3"/>
    <w:rsid w:val="001F21AA"/>
    <w:rsid w:val="00201F81"/>
    <w:rsid w:val="002040EF"/>
    <w:rsid w:val="00204E08"/>
    <w:rsid w:val="002070A5"/>
    <w:rsid w:val="00211190"/>
    <w:rsid w:val="00212999"/>
    <w:rsid w:val="00212EBC"/>
    <w:rsid w:val="00213003"/>
    <w:rsid w:val="00213941"/>
    <w:rsid w:val="00213E4A"/>
    <w:rsid w:val="00216D0F"/>
    <w:rsid w:val="00222148"/>
    <w:rsid w:val="002323F5"/>
    <w:rsid w:val="00232CCF"/>
    <w:rsid w:val="002343B9"/>
    <w:rsid w:val="002343CE"/>
    <w:rsid w:val="00235D30"/>
    <w:rsid w:val="002368DD"/>
    <w:rsid w:val="00241DB9"/>
    <w:rsid w:val="00241DCD"/>
    <w:rsid w:val="002442BE"/>
    <w:rsid w:val="00244F92"/>
    <w:rsid w:val="00245141"/>
    <w:rsid w:val="002456B1"/>
    <w:rsid w:val="002477DD"/>
    <w:rsid w:val="00250C19"/>
    <w:rsid w:val="00253DBE"/>
    <w:rsid w:val="00254429"/>
    <w:rsid w:val="00265A91"/>
    <w:rsid w:val="00265AFA"/>
    <w:rsid w:val="00266010"/>
    <w:rsid w:val="00267723"/>
    <w:rsid w:val="00271632"/>
    <w:rsid w:val="00272C46"/>
    <w:rsid w:val="00281145"/>
    <w:rsid w:val="0028278F"/>
    <w:rsid w:val="002842BB"/>
    <w:rsid w:val="00290EBA"/>
    <w:rsid w:val="002914DE"/>
    <w:rsid w:val="00291B4B"/>
    <w:rsid w:val="002922D0"/>
    <w:rsid w:val="00293FCA"/>
    <w:rsid w:val="0029453A"/>
    <w:rsid w:val="002956F4"/>
    <w:rsid w:val="0029685B"/>
    <w:rsid w:val="002A0F9F"/>
    <w:rsid w:val="002A126B"/>
    <w:rsid w:val="002A282C"/>
    <w:rsid w:val="002A4419"/>
    <w:rsid w:val="002A4DB5"/>
    <w:rsid w:val="002A5295"/>
    <w:rsid w:val="002A6F62"/>
    <w:rsid w:val="002B0250"/>
    <w:rsid w:val="002B3BE9"/>
    <w:rsid w:val="002B72D5"/>
    <w:rsid w:val="002B7679"/>
    <w:rsid w:val="002B792A"/>
    <w:rsid w:val="002C14EC"/>
    <w:rsid w:val="002C42E7"/>
    <w:rsid w:val="002E2362"/>
    <w:rsid w:val="002E2FF5"/>
    <w:rsid w:val="002E7F03"/>
    <w:rsid w:val="002F6364"/>
    <w:rsid w:val="00302980"/>
    <w:rsid w:val="003039B8"/>
    <w:rsid w:val="00305F87"/>
    <w:rsid w:val="00306D2F"/>
    <w:rsid w:val="00313D73"/>
    <w:rsid w:val="003161C4"/>
    <w:rsid w:val="003177F3"/>
    <w:rsid w:val="00320A11"/>
    <w:rsid w:val="0032283C"/>
    <w:rsid w:val="00324BF5"/>
    <w:rsid w:val="00325AA6"/>
    <w:rsid w:val="00326A22"/>
    <w:rsid w:val="00326D76"/>
    <w:rsid w:val="0032789F"/>
    <w:rsid w:val="0033004E"/>
    <w:rsid w:val="00330535"/>
    <w:rsid w:val="0033185F"/>
    <w:rsid w:val="00332222"/>
    <w:rsid w:val="00333BBD"/>
    <w:rsid w:val="003344EC"/>
    <w:rsid w:val="00334F80"/>
    <w:rsid w:val="00335689"/>
    <w:rsid w:val="003416FB"/>
    <w:rsid w:val="00342B22"/>
    <w:rsid w:val="0034382C"/>
    <w:rsid w:val="00344E76"/>
    <w:rsid w:val="003505B1"/>
    <w:rsid w:val="003531D1"/>
    <w:rsid w:val="00355642"/>
    <w:rsid w:val="0036378E"/>
    <w:rsid w:val="00365388"/>
    <w:rsid w:val="00365F3D"/>
    <w:rsid w:val="003664FA"/>
    <w:rsid w:val="00372FA6"/>
    <w:rsid w:val="0037419D"/>
    <w:rsid w:val="00374852"/>
    <w:rsid w:val="00376072"/>
    <w:rsid w:val="00376FAA"/>
    <w:rsid w:val="003813C4"/>
    <w:rsid w:val="00382376"/>
    <w:rsid w:val="00386886"/>
    <w:rsid w:val="00386FF8"/>
    <w:rsid w:val="003903DA"/>
    <w:rsid w:val="00390A23"/>
    <w:rsid w:val="003922DD"/>
    <w:rsid w:val="00395C54"/>
    <w:rsid w:val="003970D2"/>
    <w:rsid w:val="003973D1"/>
    <w:rsid w:val="003A1988"/>
    <w:rsid w:val="003A1D8D"/>
    <w:rsid w:val="003A2582"/>
    <w:rsid w:val="003A36A8"/>
    <w:rsid w:val="003A5618"/>
    <w:rsid w:val="003B0DF1"/>
    <w:rsid w:val="003B3CD5"/>
    <w:rsid w:val="003B6BCE"/>
    <w:rsid w:val="003B74C9"/>
    <w:rsid w:val="003D19C8"/>
    <w:rsid w:val="003D2209"/>
    <w:rsid w:val="003D30B9"/>
    <w:rsid w:val="003D3A41"/>
    <w:rsid w:val="003D4868"/>
    <w:rsid w:val="003D4F21"/>
    <w:rsid w:val="003D6C55"/>
    <w:rsid w:val="003E2D08"/>
    <w:rsid w:val="003E46D9"/>
    <w:rsid w:val="003F178E"/>
    <w:rsid w:val="003F2EC7"/>
    <w:rsid w:val="003F5449"/>
    <w:rsid w:val="00400071"/>
    <w:rsid w:val="00405BA1"/>
    <w:rsid w:val="004066A4"/>
    <w:rsid w:val="00410623"/>
    <w:rsid w:val="0041292A"/>
    <w:rsid w:val="00413A21"/>
    <w:rsid w:val="004170C9"/>
    <w:rsid w:val="0042248F"/>
    <w:rsid w:val="00423CEE"/>
    <w:rsid w:val="0042579D"/>
    <w:rsid w:val="0043012F"/>
    <w:rsid w:val="00430271"/>
    <w:rsid w:val="00431524"/>
    <w:rsid w:val="00435E1C"/>
    <w:rsid w:val="0043745A"/>
    <w:rsid w:val="00437822"/>
    <w:rsid w:val="004402E2"/>
    <w:rsid w:val="00442E64"/>
    <w:rsid w:val="0044434F"/>
    <w:rsid w:val="0044470A"/>
    <w:rsid w:val="0044528D"/>
    <w:rsid w:val="004473F9"/>
    <w:rsid w:val="004503BA"/>
    <w:rsid w:val="004509A0"/>
    <w:rsid w:val="00460606"/>
    <w:rsid w:val="00461170"/>
    <w:rsid w:val="00461CA9"/>
    <w:rsid w:val="004641E8"/>
    <w:rsid w:val="00465485"/>
    <w:rsid w:val="00473BF5"/>
    <w:rsid w:val="00482780"/>
    <w:rsid w:val="00485D43"/>
    <w:rsid w:val="00486DFE"/>
    <w:rsid w:val="00486EBA"/>
    <w:rsid w:val="00492A67"/>
    <w:rsid w:val="00492D2A"/>
    <w:rsid w:val="00493D61"/>
    <w:rsid w:val="0049443F"/>
    <w:rsid w:val="00495AA5"/>
    <w:rsid w:val="004A0556"/>
    <w:rsid w:val="004A0CCB"/>
    <w:rsid w:val="004A3C46"/>
    <w:rsid w:val="004A6DDB"/>
    <w:rsid w:val="004B02B5"/>
    <w:rsid w:val="004B1874"/>
    <w:rsid w:val="004B2CA3"/>
    <w:rsid w:val="004C3BD8"/>
    <w:rsid w:val="004C4F05"/>
    <w:rsid w:val="004C630F"/>
    <w:rsid w:val="004C69D3"/>
    <w:rsid w:val="004D0E97"/>
    <w:rsid w:val="004D2221"/>
    <w:rsid w:val="004F02DC"/>
    <w:rsid w:val="004F0C12"/>
    <w:rsid w:val="004F2954"/>
    <w:rsid w:val="004F447E"/>
    <w:rsid w:val="004F44E4"/>
    <w:rsid w:val="004F5415"/>
    <w:rsid w:val="005006C5"/>
    <w:rsid w:val="00501E2B"/>
    <w:rsid w:val="00503645"/>
    <w:rsid w:val="00503D51"/>
    <w:rsid w:val="0050462C"/>
    <w:rsid w:val="00504835"/>
    <w:rsid w:val="00505181"/>
    <w:rsid w:val="00505F03"/>
    <w:rsid w:val="00514AD4"/>
    <w:rsid w:val="005179C3"/>
    <w:rsid w:val="005179C9"/>
    <w:rsid w:val="00517AED"/>
    <w:rsid w:val="0052070D"/>
    <w:rsid w:val="005240E4"/>
    <w:rsid w:val="00524320"/>
    <w:rsid w:val="005245E7"/>
    <w:rsid w:val="00524F14"/>
    <w:rsid w:val="005250F0"/>
    <w:rsid w:val="0053027F"/>
    <w:rsid w:val="0053564B"/>
    <w:rsid w:val="005359C3"/>
    <w:rsid w:val="0054036F"/>
    <w:rsid w:val="005406EB"/>
    <w:rsid w:val="00540EB7"/>
    <w:rsid w:val="00542A44"/>
    <w:rsid w:val="0054416D"/>
    <w:rsid w:val="00545A17"/>
    <w:rsid w:val="00547B6C"/>
    <w:rsid w:val="00551F8C"/>
    <w:rsid w:val="0055301B"/>
    <w:rsid w:val="00554E6D"/>
    <w:rsid w:val="0055732B"/>
    <w:rsid w:val="0056052C"/>
    <w:rsid w:val="00560F75"/>
    <w:rsid w:val="005618DE"/>
    <w:rsid w:val="0056353A"/>
    <w:rsid w:val="00565CE3"/>
    <w:rsid w:val="00574691"/>
    <w:rsid w:val="0058483C"/>
    <w:rsid w:val="00586387"/>
    <w:rsid w:val="00590634"/>
    <w:rsid w:val="005917F7"/>
    <w:rsid w:val="00591D96"/>
    <w:rsid w:val="00591FAE"/>
    <w:rsid w:val="00592C8F"/>
    <w:rsid w:val="0059651A"/>
    <w:rsid w:val="00597953"/>
    <w:rsid w:val="005A0162"/>
    <w:rsid w:val="005A0563"/>
    <w:rsid w:val="005A2D2E"/>
    <w:rsid w:val="005A4FCE"/>
    <w:rsid w:val="005A533D"/>
    <w:rsid w:val="005B205D"/>
    <w:rsid w:val="005B69F4"/>
    <w:rsid w:val="005C033F"/>
    <w:rsid w:val="005C4C91"/>
    <w:rsid w:val="005C4DED"/>
    <w:rsid w:val="005C7675"/>
    <w:rsid w:val="005D1735"/>
    <w:rsid w:val="005D2E7C"/>
    <w:rsid w:val="005D593F"/>
    <w:rsid w:val="005E1216"/>
    <w:rsid w:val="005F16E8"/>
    <w:rsid w:val="005F570D"/>
    <w:rsid w:val="005F5A29"/>
    <w:rsid w:val="00602D22"/>
    <w:rsid w:val="00604BF0"/>
    <w:rsid w:val="00604C1E"/>
    <w:rsid w:val="00607A46"/>
    <w:rsid w:val="00610F6F"/>
    <w:rsid w:val="006124A8"/>
    <w:rsid w:val="00612E6E"/>
    <w:rsid w:val="0061475F"/>
    <w:rsid w:val="006173E0"/>
    <w:rsid w:val="0062288F"/>
    <w:rsid w:val="00624E04"/>
    <w:rsid w:val="0063448B"/>
    <w:rsid w:val="00634EFB"/>
    <w:rsid w:val="0064020E"/>
    <w:rsid w:val="00642B77"/>
    <w:rsid w:val="00644FEE"/>
    <w:rsid w:val="00664425"/>
    <w:rsid w:val="006652C5"/>
    <w:rsid w:val="006667E9"/>
    <w:rsid w:val="0066703B"/>
    <w:rsid w:val="006675EB"/>
    <w:rsid w:val="00675170"/>
    <w:rsid w:val="0067625B"/>
    <w:rsid w:val="006812EF"/>
    <w:rsid w:val="0068141A"/>
    <w:rsid w:val="00683588"/>
    <w:rsid w:val="006873DD"/>
    <w:rsid w:val="00697A9E"/>
    <w:rsid w:val="00697FF4"/>
    <w:rsid w:val="006A2E9B"/>
    <w:rsid w:val="006A633F"/>
    <w:rsid w:val="006A64A1"/>
    <w:rsid w:val="006B0079"/>
    <w:rsid w:val="006B131F"/>
    <w:rsid w:val="006B7EED"/>
    <w:rsid w:val="006C04B1"/>
    <w:rsid w:val="006C09B0"/>
    <w:rsid w:val="006C1B16"/>
    <w:rsid w:val="006C4783"/>
    <w:rsid w:val="006C4957"/>
    <w:rsid w:val="006C5F3D"/>
    <w:rsid w:val="006C6079"/>
    <w:rsid w:val="006D1820"/>
    <w:rsid w:val="006D3DA8"/>
    <w:rsid w:val="006D4DFA"/>
    <w:rsid w:val="006D5ADA"/>
    <w:rsid w:val="006E03F9"/>
    <w:rsid w:val="006E1991"/>
    <w:rsid w:val="006E2F08"/>
    <w:rsid w:val="006E3493"/>
    <w:rsid w:val="006E57E7"/>
    <w:rsid w:val="006E6BFF"/>
    <w:rsid w:val="006E79FC"/>
    <w:rsid w:val="006E7E9F"/>
    <w:rsid w:val="006F2670"/>
    <w:rsid w:val="006F2D81"/>
    <w:rsid w:val="006F4351"/>
    <w:rsid w:val="006F4A00"/>
    <w:rsid w:val="006F7467"/>
    <w:rsid w:val="007044AC"/>
    <w:rsid w:val="00704666"/>
    <w:rsid w:val="007104E2"/>
    <w:rsid w:val="0071161B"/>
    <w:rsid w:val="00717F2B"/>
    <w:rsid w:val="00720C24"/>
    <w:rsid w:val="007223A1"/>
    <w:rsid w:val="007230F8"/>
    <w:rsid w:val="007235F1"/>
    <w:rsid w:val="0072582F"/>
    <w:rsid w:val="00727F92"/>
    <w:rsid w:val="00732DC1"/>
    <w:rsid w:val="00733343"/>
    <w:rsid w:val="0073477C"/>
    <w:rsid w:val="00734CF8"/>
    <w:rsid w:val="00736D7E"/>
    <w:rsid w:val="007370BF"/>
    <w:rsid w:val="0073768C"/>
    <w:rsid w:val="00737C94"/>
    <w:rsid w:val="00740724"/>
    <w:rsid w:val="00744EF1"/>
    <w:rsid w:val="0074506B"/>
    <w:rsid w:val="0074614B"/>
    <w:rsid w:val="00746731"/>
    <w:rsid w:val="0074712E"/>
    <w:rsid w:val="00751A32"/>
    <w:rsid w:val="00755DDF"/>
    <w:rsid w:val="00756A2C"/>
    <w:rsid w:val="0076045E"/>
    <w:rsid w:val="007605E9"/>
    <w:rsid w:val="007667C8"/>
    <w:rsid w:val="00766BD6"/>
    <w:rsid w:val="00767322"/>
    <w:rsid w:val="007721AC"/>
    <w:rsid w:val="00772BAA"/>
    <w:rsid w:val="00773EAD"/>
    <w:rsid w:val="00786CAC"/>
    <w:rsid w:val="00790480"/>
    <w:rsid w:val="00791189"/>
    <w:rsid w:val="007924E1"/>
    <w:rsid w:val="0079284C"/>
    <w:rsid w:val="00794BB0"/>
    <w:rsid w:val="00795B6C"/>
    <w:rsid w:val="0079717D"/>
    <w:rsid w:val="007A0591"/>
    <w:rsid w:val="007A48AC"/>
    <w:rsid w:val="007A596D"/>
    <w:rsid w:val="007A6FA4"/>
    <w:rsid w:val="007B3FD5"/>
    <w:rsid w:val="007B3FF4"/>
    <w:rsid w:val="007B4F64"/>
    <w:rsid w:val="007B61D7"/>
    <w:rsid w:val="007B66FB"/>
    <w:rsid w:val="007B711C"/>
    <w:rsid w:val="007C6EBB"/>
    <w:rsid w:val="007D18C6"/>
    <w:rsid w:val="007D2655"/>
    <w:rsid w:val="007D64AC"/>
    <w:rsid w:val="007D650F"/>
    <w:rsid w:val="007E24ED"/>
    <w:rsid w:val="007E2D76"/>
    <w:rsid w:val="007E5081"/>
    <w:rsid w:val="007F007E"/>
    <w:rsid w:val="007F197D"/>
    <w:rsid w:val="007F202C"/>
    <w:rsid w:val="007F25FD"/>
    <w:rsid w:val="007F553C"/>
    <w:rsid w:val="008007F2"/>
    <w:rsid w:val="008015AF"/>
    <w:rsid w:val="00805043"/>
    <w:rsid w:val="00805478"/>
    <w:rsid w:val="00811E34"/>
    <w:rsid w:val="008136D7"/>
    <w:rsid w:val="00813B2C"/>
    <w:rsid w:val="0081600A"/>
    <w:rsid w:val="008209F8"/>
    <w:rsid w:val="008220BF"/>
    <w:rsid w:val="008222CF"/>
    <w:rsid w:val="00822D39"/>
    <w:rsid w:val="00826EC1"/>
    <w:rsid w:val="00832396"/>
    <w:rsid w:val="00832EFD"/>
    <w:rsid w:val="00833D72"/>
    <w:rsid w:val="0083722A"/>
    <w:rsid w:val="0084063C"/>
    <w:rsid w:val="00840769"/>
    <w:rsid w:val="00840ACC"/>
    <w:rsid w:val="008419D1"/>
    <w:rsid w:val="00844C14"/>
    <w:rsid w:val="00845598"/>
    <w:rsid w:val="008455CC"/>
    <w:rsid w:val="00847380"/>
    <w:rsid w:val="00847909"/>
    <w:rsid w:val="00847EC1"/>
    <w:rsid w:val="008535A2"/>
    <w:rsid w:val="00853B0A"/>
    <w:rsid w:val="008544E1"/>
    <w:rsid w:val="00855553"/>
    <w:rsid w:val="00856DD8"/>
    <w:rsid w:val="00860354"/>
    <w:rsid w:val="00866ACA"/>
    <w:rsid w:val="00872694"/>
    <w:rsid w:val="0088321B"/>
    <w:rsid w:val="00884044"/>
    <w:rsid w:val="00885C11"/>
    <w:rsid w:val="00887972"/>
    <w:rsid w:val="00893F87"/>
    <w:rsid w:val="008958D4"/>
    <w:rsid w:val="00896307"/>
    <w:rsid w:val="008973CE"/>
    <w:rsid w:val="008977CB"/>
    <w:rsid w:val="008A727A"/>
    <w:rsid w:val="008A73E7"/>
    <w:rsid w:val="008A7FFD"/>
    <w:rsid w:val="008B0233"/>
    <w:rsid w:val="008B28D2"/>
    <w:rsid w:val="008B290C"/>
    <w:rsid w:val="008B3423"/>
    <w:rsid w:val="008B4BC3"/>
    <w:rsid w:val="008C32B3"/>
    <w:rsid w:val="008C4DA5"/>
    <w:rsid w:val="008C7930"/>
    <w:rsid w:val="008C7EE4"/>
    <w:rsid w:val="008D27BC"/>
    <w:rsid w:val="008D5053"/>
    <w:rsid w:val="008D6222"/>
    <w:rsid w:val="008E147E"/>
    <w:rsid w:val="008E4F69"/>
    <w:rsid w:val="008F0C51"/>
    <w:rsid w:val="008F0D11"/>
    <w:rsid w:val="008F70CF"/>
    <w:rsid w:val="008F7951"/>
    <w:rsid w:val="008F7B27"/>
    <w:rsid w:val="00901566"/>
    <w:rsid w:val="00901B68"/>
    <w:rsid w:val="0090230B"/>
    <w:rsid w:val="009025B4"/>
    <w:rsid w:val="00905739"/>
    <w:rsid w:val="00905A9E"/>
    <w:rsid w:val="00911D6F"/>
    <w:rsid w:val="0091605E"/>
    <w:rsid w:val="009225E9"/>
    <w:rsid w:val="00927C89"/>
    <w:rsid w:val="009300B7"/>
    <w:rsid w:val="009321F2"/>
    <w:rsid w:val="009322CF"/>
    <w:rsid w:val="009362AF"/>
    <w:rsid w:val="00941E55"/>
    <w:rsid w:val="00944BF3"/>
    <w:rsid w:val="00946C0B"/>
    <w:rsid w:val="00951D0F"/>
    <w:rsid w:val="00953629"/>
    <w:rsid w:val="00954577"/>
    <w:rsid w:val="00966354"/>
    <w:rsid w:val="00966718"/>
    <w:rsid w:val="00972363"/>
    <w:rsid w:val="009728C4"/>
    <w:rsid w:val="009745BB"/>
    <w:rsid w:val="0097533E"/>
    <w:rsid w:val="0097560D"/>
    <w:rsid w:val="00976257"/>
    <w:rsid w:val="00981C51"/>
    <w:rsid w:val="00982736"/>
    <w:rsid w:val="00983713"/>
    <w:rsid w:val="009841FD"/>
    <w:rsid w:val="00985F01"/>
    <w:rsid w:val="00994488"/>
    <w:rsid w:val="00995944"/>
    <w:rsid w:val="00996EEA"/>
    <w:rsid w:val="009A5E76"/>
    <w:rsid w:val="009A6D01"/>
    <w:rsid w:val="009A7380"/>
    <w:rsid w:val="009A7412"/>
    <w:rsid w:val="009B34AC"/>
    <w:rsid w:val="009B45C0"/>
    <w:rsid w:val="009B6D69"/>
    <w:rsid w:val="009C23EF"/>
    <w:rsid w:val="009C3BA7"/>
    <w:rsid w:val="009C3D82"/>
    <w:rsid w:val="009D382B"/>
    <w:rsid w:val="009D43AA"/>
    <w:rsid w:val="009D510E"/>
    <w:rsid w:val="009D73A8"/>
    <w:rsid w:val="009E199A"/>
    <w:rsid w:val="009E419C"/>
    <w:rsid w:val="009E4A32"/>
    <w:rsid w:val="009F07DF"/>
    <w:rsid w:val="009F1CA2"/>
    <w:rsid w:val="009F2493"/>
    <w:rsid w:val="009F7F61"/>
    <w:rsid w:val="00A02DF4"/>
    <w:rsid w:val="00A03E1C"/>
    <w:rsid w:val="00A04CD8"/>
    <w:rsid w:val="00A053B9"/>
    <w:rsid w:val="00A10C05"/>
    <w:rsid w:val="00A10DC1"/>
    <w:rsid w:val="00A11348"/>
    <w:rsid w:val="00A11789"/>
    <w:rsid w:val="00A134A1"/>
    <w:rsid w:val="00A13D0F"/>
    <w:rsid w:val="00A17994"/>
    <w:rsid w:val="00A21733"/>
    <w:rsid w:val="00A31EBF"/>
    <w:rsid w:val="00A32D33"/>
    <w:rsid w:val="00A33281"/>
    <w:rsid w:val="00A340D2"/>
    <w:rsid w:val="00A34890"/>
    <w:rsid w:val="00A35829"/>
    <w:rsid w:val="00A36CDC"/>
    <w:rsid w:val="00A415B8"/>
    <w:rsid w:val="00A42795"/>
    <w:rsid w:val="00A44E03"/>
    <w:rsid w:val="00A45781"/>
    <w:rsid w:val="00A4664E"/>
    <w:rsid w:val="00A5339D"/>
    <w:rsid w:val="00A54DAB"/>
    <w:rsid w:val="00A57CA3"/>
    <w:rsid w:val="00A617F0"/>
    <w:rsid w:val="00A638E7"/>
    <w:rsid w:val="00A646D9"/>
    <w:rsid w:val="00A72168"/>
    <w:rsid w:val="00A7429E"/>
    <w:rsid w:val="00A76CC8"/>
    <w:rsid w:val="00A8470F"/>
    <w:rsid w:val="00A847DE"/>
    <w:rsid w:val="00A85F14"/>
    <w:rsid w:val="00A90B87"/>
    <w:rsid w:val="00A9167A"/>
    <w:rsid w:val="00A923FA"/>
    <w:rsid w:val="00A93203"/>
    <w:rsid w:val="00A94873"/>
    <w:rsid w:val="00A9635E"/>
    <w:rsid w:val="00AA2F50"/>
    <w:rsid w:val="00AA36F9"/>
    <w:rsid w:val="00AA488B"/>
    <w:rsid w:val="00AA61BB"/>
    <w:rsid w:val="00AA7600"/>
    <w:rsid w:val="00AB119F"/>
    <w:rsid w:val="00AB7590"/>
    <w:rsid w:val="00AB7EA0"/>
    <w:rsid w:val="00AC3C61"/>
    <w:rsid w:val="00AC60C6"/>
    <w:rsid w:val="00AC6A69"/>
    <w:rsid w:val="00AC71DB"/>
    <w:rsid w:val="00AD3BDF"/>
    <w:rsid w:val="00AD43AA"/>
    <w:rsid w:val="00AD54B5"/>
    <w:rsid w:val="00AD638E"/>
    <w:rsid w:val="00AD64C6"/>
    <w:rsid w:val="00AE44A7"/>
    <w:rsid w:val="00AE44B9"/>
    <w:rsid w:val="00AE48DE"/>
    <w:rsid w:val="00AE6460"/>
    <w:rsid w:val="00AF5A22"/>
    <w:rsid w:val="00B01ECA"/>
    <w:rsid w:val="00B023C2"/>
    <w:rsid w:val="00B14DE1"/>
    <w:rsid w:val="00B15575"/>
    <w:rsid w:val="00B15B3F"/>
    <w:rsid w:val="00B161AB"/>
    <w:rsid w:val="00B1666B"/>
    <w:rsid w:val="00B332B8"/>
    <w:rsid w:val="00B35F11"/>
    <w:rsid w:val="00B43A2A"/>
    <w:rsid w:val="00B502EE"/>
    <w:rsid w:val="00B51657"/>
    <w:rsid w:val="00B608AC"/>
    <w:rsid w:val="00B617CB"/>
    <w:rsid w:val="00B662EE"/>
    <w:rsid w:val="00B66B69"/>
    <w:rsid w:val="00B67829"/>
    <w:rsid w:val="00B745C8"/>
    <w:rsid w:val="00B81AB2"/>
    <w:rsid w:val="00B831B4"/>
    <w:rsid w:val="00B8426F"/>
    <w:rsid w:val="00B85EE0"/>
    <w:rsid w:val="00B912F1"/>
    <w:rsid w:val="00B93A04"/>
    <w:rsid w:val="00B93A57"/>
    <w:rsid w:val="00B94577"/>
    <w:rsid w:val="00B973D8"/>
    <w:rsid w:val="00BA1820"/>
    <w:rsid w:val="00BA1C43"/>
    <w:rsid w:val="00BA2952"/>
    <w:rsid w:val="00BA448A"/>
    <w:rsid w:val="00BA47D6"/>
    <w:rsid w:val="00BA7283"/>
    <w:rsid w:val="00BB0D4C"/>
    <w:rsid w:val="00BB0E0B"/>
    <w:rsid w:val="00BB1D5E"/>
    <w:rsid w:val="00BB4149"/>
    <w:rsid w:val="00BB4672"/>
    <w:rsid w:val="00BB5A50"/>
    <w:rsid w:val="00BC1B24"/>
    <w:rsid w:val="00BC7956"/>
    <w:rsid w:val="00BD1BEE"/>
    <w:rsid w:val="00BD6D1B"/>
    <w:rsid w:val="00BE23F0"/>
    <w:rsid w:val="00BE6E3D"/>
    <w:rsid w:val="00BE71AB"/>
    <w:rsid w:val="00BF0E5C"/>
    <w:rsid w:val="00BF370F"/>
    <w:rsid w:val="00BF3DDA"/>
    <w:rsid w:val="00BF5910"/>
    <w:rsid w:val="00BF5EB1"/>
    <w:rsid w:val="00BF7937"/>
    <w:rsid w:val="00C00372"/>
    <w:rsid w:val="00C004C0"/>
    <w:rsid w:val="00C00F11"/>
    <w:rsid w:val="00C0223A"/>
    <w:rsid w:val="00C029DB"/>
    <w:rsid w:val="00C04AAE"/>
    <w:rsid w:val="00C06D90"/>
    <w:rsid w:val="00C2299C"/>
    <w:rsid w:val="00C23F63"/>
    <w:rsid w:val="00C309BA"/>
    <w:rsid w:val="00C3120C"/>
    <w:rsid w:val="00C31502"/>
    <w:rsid w:val="00C3341E"/>
    <w:rsid w:val="00C3380F"/>
    <w:rsid w:val="00C357F5"/>
    <w:rsid w:val="00C36783"/>
    <w:rsid w:val="00C40BD7"/>
    <w:rsid w:val="00C46928"/>
    <w:rsid w:val="00C476C6"/>
    <w:rsid w:val="00C53079"/>
    <w:rsid w:val="00C54825"/>
    <w:rsid w:val="00C569CC"/>
    <w:rsid w:val="00C57B40"/>
    <w:rsid w:val="00C60509"/>
    <w:rsid w:val="00C61558"/>
    <w:rsid w:val="00C66C28"/>
    <w:rsid w:val="00C67089"/>
    <w:rsid w:val="00C709BC"/>
    <w:rsid w:val="00C7261C"/>
    <w:rsid w:val="00C72FE7"/>
    <w:rsid w:val="00C75695"/>
    <w:rsid w:val="00C77480"/>
    <w:rsid w:val="00C80D71"/>
    <w:rsid w:val="00C835DD"/>
    <w:rsid w:val="00C845D4"/>
    <w:rsid w:val="00C85CC1"/>
    <w:rsid w:val="00C8747E"/>
    <w:rsid w:val="00C87946"/>
    <w:rsid w:val="00C92944"/>
    <w:rsid w:val="00C95C17"/>
    <w:rsid w:val="00CA0D87"/>
    <w:rsid w:val="00CA2476"/>
    <w:rsid w:val="00CA2596"/>
    <w:rsid w:val="00CA72D3"/>
    <w:rsid w:val="00CB44AD"/>
    <w:rsid w:val="00CB4AD8"/>
    <w:rsid w:val="00CB4B21"/>
    <w:rsid w:val="00CB4FEF"/>
    <w:rsid w:val="00CC1393"/>
    <w:rsid w:val="00CC1440"/>
    <w:rsid w:val="00CC15BF"/>
    <w:rsid w:val="00CC1727"/>
    <w:rsid w:val="00CC6D06"/>
    <w:rsid w:val="00CD1186"/>
    <w:rsid w:val="00CD1CA9"/>
    <w:rsid w:val="00CD29CE"/>
    <w:rsid w:val="00CD68E0"/>
    <w:rsid w:val="00CE11B9"/>
    <w:rsid w:val="00CE1E47"/>
    <w:rsid w:val="00CE2709"/>
    <w:rsid w:val="00CE6D7F"/>
    <w:rsid w:val="00CF0FCE"/>
    <w:rsid w:val="00CF26B8"/>
    <w:rsid w:val="00CF38D5"/>
    <w:rsid w:val="00CF4815"/>
    <w:rsid w:val="00CF5693"/>
    <w:rsid w:val="00CF71C0"/>
    <w:rsid w:val="00D00DAD"/>
    <w:rsid w:val="00D033C0"/>
    <w:rsid w:val="00D0675E"/>
    <w:rsid w:val="00D07ADF"/>
    <w:rsid w:val="00D12F7C"/>
    <w:rsid w:val="00D13061"/>
    <w:rsid w:val="00D1343B"/>
    <w:rsid w:val="00D14303"/>
    <w:rsid w:val="00D21425"/>
    <w:rsid w:val="00D25ADF"/>
    <w:rsid w:val="00D26204"/>
    <w:rsid w:val="00D2756B"/>
    <w:rsid w:val="00D27D3E"/>
    <w:rsid w:val="00D307FC"/>
    <w:rsid w:val="00D30A1D"/>
    <w:rsid w:val="00D31EE9"/>
    <w:rsid w:val="00D344C6"/>
    <w:rsid w:val="00D37165"/>
    <w:rsid w:val="00D43E0E"/>
    <w:rsid w:val="00D4578C"/>
    <w:rsid w:val="00D51ACD"/>
    <w:rsid w:val="00D572C4"/>
    <w:rsid w:val="00D57864"/>
    <w:rsid w:val="00D6333D"/>
    <w:rsid w:val="00D708A9"/>
    <w:rsid w:val="00D7234A"/>
    <w:rsid w:val="00D75ED6"/>
    <w:rsid w:val="00D76D16"/>
    <w:rsid w:val="00D77716"/>
    <w:rsid w:val="00D824C9"/>
    <w:rsid w:val="00D8354D"/>
    <w:rsid w:val="00D840A5"/>
    <w:rsid w:val="00D84897"/>
    <w:rsid w:val="00D900AE"/>
    <w:rsid w:val="00D91626"/>
    <w:rsid w:val="00D93B25"/>
    <w:rsid w:val="00D95B07"/>
    <w:rsid w:val="00DA0889"/>
    <w:rsid w:val="00DA17C7"/>
    <w:rsid w:val="00DA2032"/>
    <w:rsid w:val="00DA2DE3"/>
    <w:rsid w:val="00DA38C4"/>
    <w:rsid w:val="00DA4C10"/>
    <w:rsid w:val="00DA78D3"/>
    <w:rsid w:val="00DB0793"/>
    <w:rsid w:val="00DB16D6"/>
    <w:rsid w:val="00DB3079"/>
    <w:rsid w:val="00DB50FF"/>
    <w:rsid w:val="00DB611D"/>
    <w:rsid w:val="00DB61E6"/>
    <w:rsid w:val="00DB7AE6"/>
    <w:rsid w:val="00DC0860"/>
    <w:rsid w:val="00DC08C9"/>
    <w:rsid w:val="00DC18BD"/>
    <w:rsid w:val="00DC293E"/>
    <w:rsid w:val="00DD085C"/>
    <w:rsid w:val="00DD5916"/>
    <w:rsid w:val="00DE06AF"/>
    <w:rsid w:val="00DE6E18"/>
    <w:rsid w:val="00DF1311"/>
    <w:rsid w:val="00DF1469"/>
    <w:rsid w:val="00DF32AD"/>
    <w:rsid w:val="00DF4C96"/>
    <w:rsid w:val="00DF7A2E"/>
    <w:rsid w:val="00DF7C82"/>
    <w:rsid w:val="00E0015E"/>
    <w:rsid w:val="00E025F7"/>
    <w:rsid w:val="00E0693C"/>
    <w:rsid w:val="00E06F8A"/>
    <w:rsid w:val="00E0775B"/>
    <w:rsid w:val="00E1052E"/>
    <w:rsid w:val="00E178A5"/>
    <w:rsid w:val="00E20D50"/>
    <w:rsid w:val="00E25613"/>
    <w:rsid w:val="00E2595D"/>
    <w:rsid w:val="00E27CDB"/>
    <w:rsid w:val="00E30030"/>
    <w:rsid w:val="00E31A36"/>
    <w:rsid w:val="00E33039"/>
    <w:rsid w:val="00E3349C"/>
    <w:rsid w:val="00E33D39"/>
    <w:rsid w:val="00E33F7D"/>
    <w:rsid w:val="00E3434F"/>
    <w:rsid w:val="00E3628E"/>
    <w:rsid w:val="00E45A93"/>
    <w:rsid w:val="00E50C4D"/>
    <w:rsid w:val="00E527E7"/>
    <w:rsid w:val="00E548F2"/>
    <w:rsid w:val="00E60F72"/>
    <w:rsid w:val="00E626B8"/>
    <w:rsid w:val="00E62B16"/>
    <w:rsid w:val="00E63A15"/>
    <w:rsid w:val="00E67EC1"/>
    <w:rsid w:val="00E70F47"/>
    <w:rsid w:val="00E71C67"/>
    <w:rsid w:val="00E72A66"/>
    <w:rsid w:val="00E72AFC"/>
    <w:rsid w:val="00E7725A"/>
    <w:rsid w:val="00E8050C"/>
    <w:rsid w:val="00E850A2"/>
    <w:rsid w:val="00E854EB"/>
    <w:rsid w:val="00E90B81"/>
    <w:rsid w:val="00E90EA1"/>
    <w:rsid w:val="00E948BD"/>
    <w:rsid w:val="00E95ACC"/>
    <w:rsid w:val="00E962F8"/>
    <w:rsid w:val="00E97737"/>
    <w:rsid w:val="00EA1CA4"/>
    <w:rsid w:val="00EA4027"/>
    <w:rsid w:val="00EB4CA9"/>
    <w:rsid w:val="00EB4DD2"/>
    <w:rsid w:val="00EB733C"/>
    <w:rsid w:val="00EB79B6"/>
    <w:rsid w:val="00EC0954"/>
    <w:rsid w:val="00EC0FE5"/>
    <w:rsid w:val="00EC338D"/>
    <w:rsid w:val="00EC3A86"/>
    <w:rsid w:val="00ED2EE8"/>
    <w:rsid w:val="00ED342E"/>
    <w:rsid w:val="00EE23EA"/>
    <w:rsid w:val="00EE2C74"/>
    <w:rsid w:val="00EE32BD"/>
    <w:rsid w:val="00EE5F71"/>
    <w:rsid w:val="00EE7E67"/>
    <w:rsid w:val="00EF0B62"/>
    <w:rsid w:val="00EF14EA"/>
    <w:rsid w:val="00EF4314"/>
    <w:rsid w:val="00F012A3"/>
    <w:rsid w:val="00F0432E"/>
    <w:rsid w:val="00F05F89"/>
    <w:rsid w:val="00F07056"/>
    <w:rsid w:val="00F14610"/>
    <w:rsid w:val="00F23516"/>
    <w:rsid w:val="00F26159"/>
    <w:rsid w:val="00F335D9"/>
    <w:rsid w:val="00F3455A"/>
    <w:rsid w:val="00F354D2"/>
    <w:rsid w:val="00F40EC3"/>
    <w:rsid w:val="00F4112E"/>
    <w:rsid w:val="00F41A5E"/>
    <w:rsid w:val="00F436E4"/>
    <w:rsid w:val="00F45737"/>
    <w:rsid w:val="00F458A2"/>
    <w:rsid w:val="00F51C82"/>
    <w:rsid w:val="00F5338A"/>
    <w:rsid w:val="00F541EC"/>
    <w:rsid w:val="00F544C2"/>
    <w:rsid w:val="00F555E6"/>
    <w:rsid w:val="00F56668"/>
    <w:rsid w:val="00F60478"/>
    <w:rsid w:val="00F6339F"/>
    <w:rsid w:val="00F638E9"/>
    <w:rsid w:val="00F64867"/>
    <w:rsid w:val="00F70066"/>
    <w:rsid w:val="00F715E8"/>
    <w:rsid w:val="00F72995"/>
    <w:rsid w:val="00F741F4"/>
    <w:rsid w:val="00F75FF3"/>
    <w:rsid w:val="00F77783"/>
    <w:rsid w:val="00F81078"/>
    <w:rsid w:val="00F829E8"/>
    <w:rsid w:val="00F831B3"/>
    <w:rsid w:val="00F848C2"/>
    <w:rsid w:val="00F84F31"/>
    <w:rsid w:val="00FA15FC"/>
    <w:rsid w:val="00FA765D"/>
    <w:rsid w:val="00FB1304"/>
    <w:rsid w:val="00FB2CA7"/>
    <w:rsid w:val="00FB3253"/>
    <w:rsid w:val="00FB336B"/>
    <w:rsid w:val="00FB5CF3"/>
    <w:rsid w:val="00FB6EE6"/>
    <w:rsid w:val="00FB747B"/>
    <w:rsid w:val="00FB78E7"/>
    <w:rsid w:val="00FC0900"/>
    <w:rsid w:val="00FC2090"/>
    <w:rsid w:val="00FD2EC8"/>
    <w:rsid w:val="00FD3040"/>
    <w:rsid w:val="00FD346A"/>
    <w:rsid w:val="00FD748B"/>
    <w:rsid w:val="00FE20E9"/>
    <w:rsid w:val="00FF384E"/>
    <w:rsid w:val="00FF4F22"/>
    <w:rsid w:val="00FF66E3"/>
    <w:rsid w:val="00FF69B4"/>
    <w:rsid w:val="00FF70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885F29D-3DE0-43DD-A63E-48DFC322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q-AL" w:eastAsia="sq-AL"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29D"/>
    <w:pPr>
      <w:spacing w:after="0" w:line="240" w:lineRule="auto"/>
    </w:pPr>
    <w:rPr>
      <w:sz w:val="24"/>
      <w:szCs w:val="24"/>
      <w:lang w:eastAsia="sr-Latn-CS"/>
    </w:rPr>
  </w:style>
  <w:style w:type="paragraph" w:styleId="Heading1">
    <w:name w:val="heading 1"/>
    <w:basedOn w:val="Normal"/>
    <w:next w:val="Normal"/>
    <w:link w:val="Heading1Char"/>
    <w:uiPriority w:val="9"/>
    <w:qFormat/>
    <w:locked/>
    <w:rsid w:val="004C4F05"/>
    <w:pPr>
      <w:keepNext/>
      <w:spacing w:before="240" w:after="60"/>
      <w:outlineLvl w:val="0"/>
    </w:pPr>
    <w:rPr>
      <w:rFonts w:ascii="Book Antiqua" w:eastAsiaTheme="majorEastAsia" w:hAnsi="Book Antiqua"/>
      <w:b/>
      <w:bCs/>
      <w:kern w:val="32"/>
      <w:szCs w:val="32"/>
    </w:rPr>
  </w:style>
  <w:style w:type="paragraph" w:styleId="Heading2">
    <w:name w:val="heading 2"/>
    <w:basedOn w:val="Normal"/>
    <w:next w:val="Normal"/>
    <w:link w:val="Heading2Char"/>
    <w:uiPriority w:val="9"/>
    <w:unhideWhenUsed/>
    <w:qFormat/>
    <w:locked/>
    <w:rsid w:val="0054416D"/>
    <w:pPr>
      <w:keepNext/>
      <w:keepLines/>
      <w:spacing w:before="40" w:line="259" w:lineRule="auto"/>
      <w:outlineLvl w:val="1"/>
    </w:pPr>
    <w:rPr>
      <w:rFonts w:ascii="Calibri Light" w:hAnsi="Calibri Light"/>
      <w:color w:val="2E74B5"/>
      <w:sz w:val="26"/>
      <w:szCs w:val="26"/>
      <w:lang w:val="en-US" w:eastAsia="en-US"/>
    </w:rPr>
  </w:style>
  <w:style w:type="paragraph" w:styleId="Heading3">
    <w:name w:val="heading 3"/>
    <w:basedOn w:val="Normal"/>
    <w:next w:val="Normal"/>
    <w:link w:val="Heading3Char"/>
    <w:uiPriority w:val="9"/>
    <w:semiHidden/>
    <w:unhideWhenUsed/>
    <w:qFormat/>
    <w:locked/>
    <w:rsid w:val="0054416D"/>
    <w:pPr>
      <w:keepNext/>
      <w:keepLines/>
      <w:spacing w:before="40" w:line="259" w:lineRule="auto"/>
      <w:outlineLvl w:val="2"/>
    </w:pPr>
    <w:rPr>
      <w:rFonts w:ascii="Calibri Light" w:hAnsi="Calibri Light"/>
      <w:color w:val="1F4D78"/>
      <w:lang w:val="en-US" w:eastAsia="en-US"/>
    </w:rPr>
  </w:style>
  <w:style w:type="paragraph" w:styleId="Heading4">
    <w:name w:val="heading 4"/>
    <w:basedOn w:val="Normal"/>
    <w:next w:val="Normal"/>
    <w:link w:val="Heading4Char"/>
    <w:uiPriority w:val="9"/>
    <w:unhideWhenUsed/>
    <w:qFormat/>
    <w:locked/>
    <w:rsid w:val="0054416D"/>
    <w:pPr>
      <w:keepNext/>
      <w:keepLines/>
      <w:spacing w:before="40" w:line="259" w:lineRule="auto"/>
      <w:outlineLvl w:val="3"/>
    </w:pPr>
    <w:rPr>
      <w:rFonts w:ascii="Calibri Light" w:hAnsi="Calibri Light"/>
      <w:i/>
      <w:iCs/>
      <w:color w:val="2E74B5"/>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C4F05"/>
    <w:rPr>
      <w:rFonts w:ascii="Book Antiqua" w:eastAsiaTheme="majorEastAsia" w:hAnsi="Book Antiqua"/>
      <w:b/>
      <w:bCs/>
      <w:kern w:val="32"/>
      <w:sz w:val="24"/>
      <w:szCs w:val="32"/>
      <w:lang w:eastAsia="sr-Latn-CS"/>
    </w:rPr>
  </w:style>
  <w:style w:type="character" w:customStyle="1" w:styleId="Heading2Char">
    <w:name w:val="Heading 2 Char"/>
    <w:basedOn w:val="DefaultParagraphFont"/>
    <w:link w:val="Heading2"/>
    <w:uiPriority w:val="9"/>
    <w:locked/>
    <w:rsid w:val="0054416D"/>
    <w:rPr>
      <w:rFonts w:ascii="Calibri Light" w:hAnsi="Calibri Light" w:cs="Times New Roman"/>
      <w:color w:val="2E74B5"/>
      <w:sz w:val="26"/>
      <w:szCs w:val="26"/>
    </w:rPr>
  </w:style>
  <w:style w:type="character" w:customStyle="1" w:styleId="Heading3Char">
    <w:name w:val="Heading 3 Char"/>
    <w:basedOn w:val="DefaultParagraphFont"/>
    <w:link w:val="Heading3"/>
    <w:uiPriority w:val="9"/>
    <w:semiHidden/>
    <w:locked/>
    <w:rsid w:val="0054416D"/>
    <w:rPr>
      <w:rFonts w:ascii="Calibri Light" w:hAnsi="Calibri Light" w:cs="Times New Roman"/>
      <w:color w:val="1F4D78"/>
      <w:sz w:val="24"/>
      <w:szCs w:val="24"/>
    </w:rPr>
  </w:style>
  <w:style w:type="character" w:customStyle="1" w:styleId="Heading4Char">
    <w:name w:val="Heading 4 Char"/>
    <w:basedOn w:val="DefaultParagraphFont"/>
    <w:link w:val="Heading4"/>
    <w:uiPriority w:val="9"/>
    <w:locked/>
    <w:rsid w:val="0054416D"/>
    <w:rPr>
      <w:rFonts w:ascii="Calibri Light" w:hAnsi="Calibri Light" w:cs="Times New Roman"/>
      <w:i/>
      <w:iCs/>
      <w:color w:val="2E74B5"/>
    </w:rPr>
  </w:style>
  <w:style w:type="character" w:styleId="Hyperlink">
    <w:name w:val="Hyperlink"/>
    <w:basedOn w:val="DefaultParagraphFont"/>
    <w:uiPriority w:val="99"/>
    <w:rsid w:val="006E03F9"/>
    <w:rPr>
      <w:rFonts w:cs="Times New Roman"/>
      <w:color w:val="0000FF"/>
      <w:u w:val="single"/>
    </w:rPr>
  </w:style>
  <w:style w:type="character" w:styleId="FollowedHyperlink">
    <w:name w:val="FollowedHyperlink"/>
    <w:basedOn w:val="DefaultParagraphFont"/>
    <w:uiPriority w:val="99"/>
    <w:rsid w:val="006E03F9"/>
    <w:rPr>
      <w:rFonts w:cs="Times New Roman"/>
      <w:color w:val="800080"/>
      <w:u w:val="single"/>
    </w:rPr>
  </w:style>
  <w:style w:type="paragraph" w:styleId="Header">
    <w:name w:val="header"/>
    <w:basedOn w:val="Normal"/>
    <w:link w:val="HeaderChar"/>
    <w:uiPriority w:val="99"/>
    <w:rsid w:val="006E03F9"/>
    <w:pPr>
      <w:tabs>
        <w:tab w:val="center" w:pos="4153"/>
        <w:tab w:val="right" w:pos="8306"/>
      </w:tabs>
    </w:pPr>
  </w:style>
  <w:style w:type="character" w:customStyle="1" w:styleId="HeaderChar">
    <w:name w:val="Header Char"/>
    <w:basedOn w:val="DefaultParagraphFont"/>
    <w:link w:val="Header"/>
    <w:uiPriority w:val="99"/>
    <w:locked/>
    <w:rsid w:val="006E03F9"/>
    <w:rPr>
      <w:rFonts w:cs="Times New Roman"/>
      <w:sz w:val="24"/>
      <w:szCs w:val="24"/>
      <w:lang w:val="sq-AL" w:eastAsia="sr-Latn-CS"/>
    </w:rPr>
  </w:style>
  <w:style w:type="paragraph" w:styleId="Footer">
    <w:name w:val="footer"/>
    <w:basedOn w:val="Normal"/>
    <w:link w:val="FooterChar"/>
    <w:uiPriority w:val="99"/>
    <w:rsid w:val="006E03F9"/>
    <w:pPr>
      <w:tabs>
        <w:tab w:val="center" w:pos="4320"/>
        <w:tab w:val="right" w:pos="8640"/>
      </w:tabs>
    </w:pPr>
  </w:style>
  <w:style w:type="character" w:customStyle="1" w:styleId="FooterChar">
    <w:name w:val="Footer Char"/>
    <w:basedOn w:val="DefaultParagraphFont"/>
    <w:link w:val="Footer"/>
    <w:uiPriority w:val="99"/>
    <w:locked/>
    <w:rsid w:val="006E03F9"/>
    <w:rPr>
      <w:rFonts w:cs="Times New Roman"/>
      <w:sz w:val="24"/>
      <w:szCs w:val="24"/>
      <w:lang w:val="sq-AL" w:eastAsia="sr-Latn-CS"/>
    </w:rPr>
  </w:style>
  <w:style w:type="paragraph" w:styleId="Caption">
    <w:name w:val="caption"/>
    <w:basedOn w:val="Normal"/>
    <w:next w:val="Normal"/>
    <w:uiPriority w:val="35"/>
    <w:qFormat/>
    <w:rsid w:val="006E03F9"/>
    <w:pPr>
      <w:jc w:val="center"/>
    </w:pPr>
    <w:rPr>
      <w:rFonts w:eastAsia="MS Mincho"/>
      <w:b/>
      <w:bCs/>
      <w:lang w:eastAsia="en-US"/>
    </w:rPr>
  </w:style>
  <w:style w:type="paragraph" w:styleId="Title">
    <w:name w:val="Title"/>
    <w:basedOn w:val="Normal"/>
    <w:link w:val="TitleChar"/>
    <w:uiPriority w:val="99"/>
    <w:qFormat/>
    <w:rsid w:val="006E03F9"/>
    <w:pPr>
      <w:jc w:val="center"/>
    </w:pPr>
    <w:rPr>
      <w:rFonts w:eastAsia="MS Mincho"/>
      <w:b/>
      <w:bCs/>
      <w:lang w:eastAsia="en-US"/>
    </w:rPr>
  </w:style>
  <w:style w:type="character" w:customStyle="1" w:styleId="TitleChar">
    <w:name w:val="Title Char"/>
    <w:basedOn w:val="DefaultParagraphFont"/>
    <w:link w:val="Title"/>
    <w:uiPriority w:val="99"/>
    <w:locked/>
    <w:rsid w:val="006E03F9"/>
    <w:rPr>
      <w:rFonts w:asciiTheme="majorHAnsi" w:eastAsiaTheme="majorEastAsia" w:hAnsiTheme="majorHAnsi" w:cs="Times New Roman"/>
      <w:b/>
      <w:bCs/>
      <w:kern w:val="28"/>
      <w:sz w:val="32"/>
      <w:szCs w:val="32"/>
      <w:lang w:val="sq-AL" w:eastAsia="sr-Latn-CS"/>
    </w:rPr>
  </w:style>
  <w:style w:type="paragraph" w:styleId="BodyText2">
    <w:name w:val="Body Text 2"/>
    <w:basedOn w:val="Normal"/>
    <w:link w:val="BodyText2Char"/>
    <w:uiPriority w:val="99"/>
    <w:rsid w:val="006E03F9"/>
    <w:rPr>
      <w:rFonts w:eastAsia="MS Mincho"/>
      <w:sz w:val="28"/>
      <w:szCs w:val="28"/>
      <w:lang w:eastAsia="en-US"/>
    </w:rPr>
  </w:style>
  <w:style w:type="character" w:customStyle="1" w:styleId="BodyText2Char">
    <w:name w:val="Body Text 2 Char"/>
    <w:basedOn w:val="DefaultParagraphFont"/>
    <w:link w:val="BodyText2"/>
    <w:uiPriority w:val="99"/>
    <w:semiHidden/>
    <w:locked/>
    <w:rsid w:val="006E03F9"/>
    <w:rPr>
      <w:rFonts w:cs="Times New Roman"/>
      <w:sz w:val="24"/>
      <w:szCs w:val="24"/>
      <w:lang w:val="sq-AL" w:eastAsia="sr-Latn-CS"/>
    </w:rPr>
  </w:style>
  <w:style w:type="paragraph" w:customStyle="1" w:styleId="CharCharCharCharCharChar">
    <w:name w:val="Char Char Char Char Char Char"/>
    <w:basedOn w:val="Normal"/>
    <w:uiPriority w:val="99"/>
    <w:rsid w:val="006E03F9"/>
    <w:pPr>
      <w:spacing w:after="160" w:line="240" w:lineRule="exact"/>
    </w:pPr>
    <w:rPr>
      <w:rFonts w:ascii="Tahoma" w:hAnsi="Tahoma" w:cs="Tahoma"/>
      <w:sz w:val="20"/>
      <w:szCs w:val="20"/>
      <w:lang w:val="en-US" w:eastAsia="en-US"/>
    </w:rPr>
  </w:style>
  <w:style w:type="table" w:styleId="TableElegant">
    <w:name w:val="Table Elegant"/>
    <w:basedOn w:val="TableNormal"/>
    <w:uiPriority w:val="99"/>
    <w:rsid w:val="006E03F9"/>
    <w:pPr>
      <w:spacing w:after="0" w:line="240" w:lineRule="auto"/>
    </w:pPr>
    <w:rPr>
      <w:rFonts w:eastAsia="MS Mincho"/>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E03F9"/>
    <w:pPr>
      <w:spacing w:after="0" w:line="240" w:lineRule="auto"/>
    </w:pPr>
    <w:rPr>
      <w:rFonts w:eastAsia="MS Mincho"/>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E03F9"/>
    <w:rPr>
      <w:rFonts w:cs="Times New Roman"/>
    </w:rPr>
  </w:style>
  <w:style w:type="paragraph" w:styleId="BalloonText">
    <w:name w:val="Balloon Text"/>
    <w:basedOn w:val="Normal"/>
    <w:link w:val="BalloonTextChar"/>
    <w:uiPriority w:val="99"/>
    <w:semiHidden/>
    <w:unhideWhenUsed/>
    <w:rsid w:val="00FD74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748B"/>
    <w:rPr>
      <w:rFonts w:ascii="Tahoma" w:hAnsi="Tahoma" w:cs="Tahoma"/>
      <w:sz w:val="16"/>
      <w:szCs w:val="16"/>
      <w:lang w:val="sq-AL" w:eastAsia="sr-Latn-CS"/>
    </w:rPr>
  </w:style>
  <w:style w:type="paragraph" w:styleId="ListParagraph">
    <w:name w:val="List Paragraph"/>
    <w:aliases w:val="Bullet List,FooterText,List Paragraph1,Colorful List - Accent 11,Colorful List - Accent 111,numbered,Paragraphe de liste1,列出段落,列出段落1,Bulletr List Paragraph,List Paragraph2,List Paragraph21,Pбrrafo de lista1,Parбgrafo da Lista1,リスト段落1,Pla"/>
    <w:basedOn w:val="Normal"/>
    <w:link w:val="ListParagraphChar"/>
    <w:uiPriority w:val="34"/>
    <w:qFormat/>
    <w:rsid w:val="00847380"/>
    <w:pPr>
      <w:spacing w:after="160" w:line="259" w:lineRule="auto"/>
      <w:ind w:left="720"/>
      <w:contextualSpacing/>
    </w:pPr>
    <w:rPr>
      <w:rFonts w:ascii="Calibri" w:hAnsi="Calibri"/>
      <w:sz w:val="22"/>
      <w:szCs w:val="22"/>
      <w:lang w:val="en-US" w:eastAsia="en-US"/>
    </w:rPr>
  </w:style>
  <w:style w:type="paragraph" w:customStyle="1" w:styleId="Normal1">
    <w:name w:val="Normal1"/>
    <w:basedOn w:val="Normal"/>
    <w:qFormat/>
    <w:rsid w:val="006C04B1"/>
    <w:pPr>
      <w:spacing w:before="100" w:beforeAutospacing="1" w:after="100" w:afterAutospacing="1"/>
    </w:pPr>
    <w:rPr>
      <w:lang w:val="en-US" w:eastAsia="en-US"/>
    </w:rPr>
  </w:style>
  <w:style w:type="character" w:customStyle="1" w:styleId="ListParagraphChar">
    <w:name w:val="List Paragraph Char"/>
    <w:aliases w:val="Bullet List Char,FooterText Char,List Paragraph1 Char,Colorful List - Accent 11 Char,Colorful List - Accent 111 Char,numbered Char,Paragraphe de liste1 Char,列出段落 Char,列出段落1 Char,Bulletr List Paragraph Char,List Paragraph2 Char"/>
    <w:link w:val="ListParagraph"/>
    <w:uiPriority w:val="34"/>
    <w:qFormat/>
    <w:locked/>
    <w:rsid w:val="0054416D"/>
    <w:rPr>
      <w:rFonts w:ascii="Calibri" w:hAnsi="Calibri"/>
    </w:rPr>
  </w:style>
  <w:style w:type="paragraph" w:styleId="TOCHeading">
    <w:name w:val="TOC Heading"/>
    <w:basedOn w:val="Heading1"/>
    <w:next w:val="Normal"/>
    <w:uiPriority w:val="39"/>
    <w:unhideWhenUsed/>
    <w:qFormat/>
    <w:rsid w:val="0054416D"/>
    <w:pPr>
      <w:keepLines/>
      <w:spacing w:before="480" w:after="0" w:line="276" w:lineRule="auto"/>
      <w:outlineLvl w:val="9"/>
    </w:pPr>
    <w:rPr>
      <w:color w:val="2E74B5"/>
      <w:kern w:val="0"/>
      <w:sz w:val="28"/>
      <w:szCs w:val="28"/>
      <w:lang w:eastAsia="ja-JP"/>
    </w:rPr>
  </w:style>
  <w:style w:type="paragraph" w:styleId="TOC1">
    <w:name w:val="toc 1"/>
    <w:basedOn w:val="Normal"/>
    <w:next w:val="Normal"/>
    <w:autoRedefine/>
    <w:uiPriority w:val="39"/>
    <w:unhideWhenUsed/>
    <w:rsid w:val="0054416D"/>
    <w:pPr>
      <w:spacing w:after="100" w:line="276" w:lineRule="auto"/>
    </w:pPr>
    <w:rPr>
      <w:rFonts w:ascii="Calibri" w:hAnsi="Calibri"/>
      <w:sz w:val="22"/>
      <w:szCs w:val="22"/>
      <w:lang w:val="en-US" w:eastAsia="en-US"/>
    </w:rPr>
  </w:style>
  <w:style w:type="character" w:styleId="CommentReference">
    <w:name w:val="annotation reference"/>
    <w:basedOn w:val="DefaultParagraphFont"/>
    <w:uiPriority w:val="99"/>
    <w:unhideWhenUsed/>
    <w:rsid w:val="0054416D"/>
    <w:rPr>
      <w:rFonts w:cs="Times New Roman"/>
      <w:sz w:val="16"/>
    </w:rPr>
  </w:style>
  <w:style w:type="paragraph" w:styleId="CommentText">
    <w:name w:val="annotation text"/>
    <w:basedOn w:val="Normal"/>
    <w:link w:val="CommentTextChar"/>
    <w:uiPriority w:val="99"/>
    <w:unhideWhenUsed/>
    <w:rsid w:val="0054416D"/>
    <w:pPr>
      <w:spacing w:after="160"/>
    </w:pPr>
    <w:rPr>
      <w:rFonts w:ascii="Calibri" w:hAnsi="Calibri"/>
      <w:sz w:val="20"/>
      <w:szCs w:val="20"/>
      <w:lang w:val="en-US" w:eastAsia="en-US"/>
    </w:rPr>
  </w:style>
  <w:style w:type="character" w:customStyle="1" w:styleId="CommentTextChar">
    <w:name w:val="Comment Text Char"/>
    <w:basedOn w:val="DefaultParagraphFont"/>
    <w:link w:val="CommentText"/>
    <w:uiPriority w:val="99"/>
    <w:locked/>
    <w:rsid w:val="0054416D"/>
    <w:rPr>
      <w:rFonts w:ascii="Calibri" w:hAnsi="Calibri" w:cs="Times New Roman"/>
      <w:sz w:val="20"/>
      <w:szCs w:val="20"/>
    </w:rPr>
  </w:style>
  <w:style w:type="paragraph" w:styleId="CommentSubject">
    <w:name w:val="annotation subject"/>
    <w:basedOn w:val="CommentText"/>
    <w:next w:val="CommentText"/>
    <w:link w:val="CommentSubjectChar"/>
    <w:uiPriority w:val="99"/>
    <w:unhideWhenUsed/>
    <w:rsid w:val="0054416D"/>
    <w:rPr>
      <w:b/>
      <w:bCs/>
    </w:rPr>
  </w:style>
  <w:style w:type="character" w:customStyle="1" w:styleId="CommentSubjectChar">
    <w:name w:val="Comment Subject Char"/>
    <w:basedOn w:val="CommentTextChar"/>
    <w:link w:val="CommentSubject"/>
    <w:uiPriority w:val="99"/>
    <w:locked/>
    <w:rsid w:val="0054416D"/>
    <w:rPr>
      <w:rFonts w:ascii="Calibri" w:hAnsi="Calibri" w:cs="Times New Roman"/>
      <w:b/>
      <w:bCs/>
      <w:sz w:val="20"/>
      <w:szCs w:val="20"/>
    </w:rPr>
  </w:style>
  <w:style w:type="paragraph" w:styleId="FootnoteText">
    <w:name w:val="footnote text"/>
    <w:aliases w:val="fn,Footnote Text Char Char Char Char Char Char,single space,FOOTNOTES,WB-Fußnotentext,Footnote,Fußnote,ADB,Footnote Text qer,ALTS FOOTNOTE,ft,Footnote Text Char1 Char,WB-Fuﬂnotentext,Fuﬂnote,FuЯnotentext Char,A,Footnote ak,footnote text C"/>
    <w:basedOn w:val="Normal"/>
    <w:link w:val="FootnoteTextChar"/>
    <w:uiPriority w:val="99"/>
    <w:unhideWhenUsed/>
    <w:qFormat/>
    <w:rsid w:val="0054416D"/>
    <w:pPr>
      <w:ind w:firstLine="720"/>
    </w:pPr>
    <w:rPr>
      <w:sz w:val="20"/>
      <w:szCs w:val="20"/>
      <w:lang w:eastAsia="en-GB"/>
    </w:rPr>
  </w:style>
  <w:style w:type="character" w:customStyle="1" w:styleId="FootnoteTextChar">
    <w:name w:val="Footnote Text Char"/>
    <w:aliases w:val="fn Char,Footnote Text Char Char Char Char Char Char Char,single space Char,FOOTNOTES Char,WB-Fußnotentext Char,Footnote Char,Fußnote Char,ADB Char,Footnote Text qer Char,ALTS FOOTNOTE Char,ft Char,Footnote Text Char1 Char Char,A Char"/>
    <w:basedOn w:val="DefaultParagraphFont"/>
    <w:link w:val="FootnoteText"/>
    <w:uiPriority w:val="99"/>
    <w:locked/>
    <w:rsid w:val="0054416D"/>
    <w:rPr>
      <w:rFonts w:cs="Times New Roman"/>
      <w:sz w:val="20"/>
      <w:szCs w:val="20"/>
      <w:lang w:val="sq-AL" w:eastAsia="en-GB"/>
    </w:rPr>
  </w:style>
  <w:style w:type="character" w:styleId="FootnoteReference">
    <w:name w:val="footnote reference"/>
    <w:aliases w:val="ftref,fr,16 Point,Superscript 6 Point,Footnote Reference Number,Footnote Reference_LVL6,Footnote Reference_LVL61,Footnote Reference_LVL62,Footnote Reference_LVL63,Footnote Reference_LVL64,BVI fnr,Знак сноски-FN,Times 10 Poin"/>
    <w:basedOn w:val="DefaultParagraphFont"/>
    <w:link w:val="BVIfnrCharCharCharChar"/>
    <w:uiPriority w:val="99"/>
    <w:unhideWhenUsed/>
    <w:qFormat/>
    <w:locked/>
    <w:rsid w:val="0054416D"/>
    <w:rPr>
      <w:rFonts w:cs="Times New Roman"/>
      <w:vertAlign w:val="superscript"/>
    </w:rPr>
  </w:style>
  <w:style w:type="paragraph" w:customStyle="1" w:styleId="Default">
    <w:name w:val="Default"/>
    <w:rsid w:val="0054416D"/>
    <w:pPr>
      <w:autoSpaceDE w:val="0"/>
      <w:autoSpaceDN w:val="0"/>
      <w:adjustRightInd w:val="0"/>
      <w:spacing w:after="0" w:line="240" w:lineRule="auto"/>
    </w:pPr>
    <w:rPr>
      <w:rFonts w:ascii="Book Antiqua" w:eastAsia="MS Mincho" w:hAnsi="Book Antiqua" w:cs="Book Antiqua"/>
      <w:color w:val="000000"/>
      <w:sz w:val="24"/>
      <w:szCs w:val="24"/>
      <w:lang w:val="en-US" w:eastAsia="en-US"/>
    </w:rPr>
  </w:style>
  <w:style w:type="paragraph" w:styleId="TOC2">
    <w:name w:val="toc 2"/>
    <w:basedOn w:val="Normal"/>
    <w:next w:val="Normal"/>
    <w:autoRedefine/>
    <w:uiPriority w:val="39"/>
    <w:unhideWhenUsed/>
    <w:rsid w:val="0054416D"/>
    <w:pPr>
      <w:spacing w:after="100" w:line="259" w:lineRule="auto"/>
      <w:ind w:left="220"/>
    </w:pPr>
    <w:rPr>
      <w:rFonts w:ascii="Calibri" w:hAnsi="Calibri"/>
      <w:sz w:val="22"/>
      <w:szCs w:val="22"/>
      <w:lang w:val="en-US" w:eastAsia="en-US"/>
    </w:rPr>
  </w:style>
  <w:style w:type="paragraph" w:styleId="TOC3">
    <w:name w:val="toc 3"/>
    <w:basedOn w:val="Normal"/>
    <w:next w:val="Normal"/>
    <w:autoRedefine/>
    <w:uiPriority w:val="39"/>
    <w:unhideWhenUsed/>
    <w:rsid w:val="0054416D"/>
    <w:pPr>
      <w:spacing w:after="100" w:line="259" w:lineRule="auto"/>
      <w:ind w:left="440"/>
    </w:pPr>
    <w:rPr>
      <w:rFonts w:ascii="Calibri" w:hAnsi="Calibri"/>
      <w:sz w:val="22"/>
      <w:szCs w:val="22"/>
      <w:lang w:val="en-US" w:eastAsia="en-US"/>
    </w:rPr>
  </w:style>
  <w:style w:type="paragraph" w:customStyle="1" w:styleId="Pa2">
    <w:name w:val="Pa2"/>
    <w:basedOn w:val="Default"/>
    <w:next w:val="Default"/>
    <w:uiPriority w:val="99"/>
    <w:rsid w:val="0054416D"/>
    <w:pPr>
      <w:spacing w:line="201" w:lineRule="atLeast"/>
    </w:pPr>
    <w:rPr>
      <w:rFonts w:ascii="Lato" w:eastAsia="Times New Roman" w:hAnsi="Lato" w:cs="Times New Roman"/>
      <w:color w:val="auto"/>
    </w:rPr>
  </w:style>
  <w:style w:type="paragraph" w:customStyle="1" w:styleId="xmsonormal">
    <w:name w:val="x_msonormal"/>
    <w:basedOn w:val="Normal"/>
    <w:rsid w:val="0054416D"/>
    <w:rPr>
      <w:rFonts w:ascii="Calibri" w:hAnsi="Calibri" w:cs="Calibri"/>
      <w:sz w:val="22"/>
      <w:szCs w:val="22"/>
      <w:lang w:val="en-US" w:eastAsia="en-US"/>
    </w:rPr>
  </w:style>
  <w:style w:type="paragraph" w:customStyle="1" w:styleId="xmsolistparagraph">
    <w:name w:val="x_msolistparagraph"/>
    <w:basedOn w:val="Normal"/>
    <w:rsid w:val="0054416D"/>
    <w:pPr>
      <w:ind w:left="720"/>
    </w:pPr>
    <w:rPr>
      <w:lang w:val="en-US" w:eastAsia="en-US"/>
    </w:rPr>
  </w:style>
  <w:style w:type="character" w:customStyle="1" w:styleId="normaltextrun">
    <w:name w:val="normaltextrun"/>
    <w:basedOn w:val="DefaultParagraphFont"/>
    <w:rsid w:val="00121B64"/>
    <w:rPr>
      <w:rFonts w:cs="Times New Roman"/>
    </w:rPr>
  </w:style>
  <w:style w:type="paragraph" w:styleId="HTMLPreformatted">
    <w:name w:val="HTML Preformatted"/>
    <w:basedOn w:val="Normal"/>
    <w:link w:val="HTMLPreformattedChar"/>
    <w:uiPriority w:val="99"/>
    <w:unhideWhenUsed/>
    <w:rsid w:val="00634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34EFB"/>
    <w:rPr>
      <w:rFonts w:ascii="Courier New" w:hAnsi="Courier New" w:cs="Courier New"/>
      <w:sz w:val="20"/>
      <w:szCs w:val="20"/>
    </w:rPr>
  </w:style>
  <w:style w:type="character" w:customStyle="1" w:styleId="y2iqfc">
    <w:name w:val="y2iqfc"/>
    <w:rsid w:val="00634EFB"/>
  </w:style>
  <w:style w:type="paragraph" w:customStyle="1" w:styleId="BVIfnrCharCharCharChar">
    <w:name w:val="BVI fnr Char Char Char Char"/>
    <w:aliases w:val="BVI fnr Car Car Char Char Char Char,BVI fnr Car Char Char Char Char,BVI fnr Car Car Car Car Char Char Char1 Char"/>
    <w:basedOn w:val="Normal"/>
    <w:link w:val="FootnoteReference"/>
    <w:uiPriority w:val="99"/>
    <w:rsid w:val="00DB7AE6"/>
    <w:pPr>
      <w:spacing w:after="160" w:line="240" w:lineRule="exact"/>
    </w:pPr>
    <w:rPr>
      <w:sz w:val="22"/>
      <w:szCs w:val="22"/>
      <w:vertAlign w:val="superscript"/>
      <w:lang w:val="en-US" w:eastAsia="en-US"/>
    </w:rPr>
  </w:style>
  <w:style w:type="character" w:customStyle="1" w:styleId="A0">
    <w:name w:val="A0"/>
    <w:uiPriority w:val="99"/>
    <w:rsid w:val="002A5295"/>
    <w:rPr>
      <w:color w:val="000000"/>
      <w:sz w:val="19"/>
    </w:rPr>
  </w:style>
  <w:style w:type="character" w:customStyle="1" w:styleId="tr">
    <w:name w:val="tr"/>
    <w:rsid w:val="004C3BD8"/>
  </w:style>
  <w:style w:type="character" w:styleId="Strong">
    <w:name w:val="Strong"/>
    <w:basedOn w:val="DefaultParagraphFont"/>
    <w:uiPriority w:val="22"/>
    <w:qFormat/>
    <w:locked/>
    <w:rsid w:val="00BB4149"/>
    <w:rPr>
      <w:rFonts w:cs="Times New Roman"/>
      <w:b/>
    </w:rPr>
  </w:style>
  <w:style w:type="character" w:styleId="Emphasis">
    <w:name w:val="Emphasis"/>
    <w:basedOn w:val="DefaultParagraphFont"/>
    <w:uiPriority w:val="20"/>
    <w:qFormat/>
    <w:locked/>
    <w:rsid w:val="00BB4149"/>
    <w:rPr>
      <w:rFonts w:cs="Times New Roman"/>
      <w:i/>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AB7EA0"/>
    <w:pPr>
      <w:spacing w:before="120" w:after="160" w:line="240" w:lineRule="exact"/>
      <w:jc w:val="both"/>
    </w:pPr>
    <w:rPr>
      <w:rFonts w:ascii="Arial" w:hAnsi="Arial"/>
      <w:sz w:val="22"/>
      <w:szCs w:val="22"/>
      <w:vertAlign w:val="superscript"/>
      <w:lang w:val="en-US" w:eastAsia="en-US"/>
    </w:rPr>
  </w:style>
  <w:style w:type="paragraph" w:styleId="NormalWeb">
    <w:name w:val="Normal (Web)"/>
    <w:basedOn w:val="Normal"/>
    <w:uiPriority w:val="99"/>
    <w:unhideWhenUsed/>
    <w:rsid w:val="00AB7EA0"/>
    <w:pPr>
      <w:spacing w:before="100" w:beforeAutospacing="1" w:after="100" w:afterAutospacing="1"/>
      <w:jc w:val="both"/>
    </w:pPr>
    <w:rPr>
      <w:rFonts w:ascii="Calibri" w:hAnsi="Calibri"/>
      <w:sz w:val="22"/>
      <w:lang w:val="en-US" w:eastAsia="en-US"/>
    </w:rPr>
  </w:style>
  <w:style w:type="table" w:customStyle="1" w:styleId="TableGrid3">
    <w:name w:val="Table Grid3"/>
    <w:basedOn w:val="TableNormal"/>
    <w:next w:val="TableGrid"/>
    <w:uiPriority w:val="39"/>
    <w:rsid w:val="00AB7EA0"/>
    <w:pPr>
      <w:spacing w:after="120" w:line="240" w:lineRule="auto"/>
      <w:jc w:val="both"/>
    </w:pPr>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rsid w:val="00AB7EA0"/>
  </w:style>
  <w:style w:type="paragraph" w:customStyle="1" w:styleId="Pa4">
    <w:name w:val="Pa4"/>
    <w:basedOn w:val="Default"/>
    <w:next w:val="Default"/>
    <w:uiPriority w:val="99"/>
    <w:rsid w:val="00AB7EA0"/>
    <w:pPr>
      <w:spacing w:line="241" w:lineRule="atLeast"/>
    </w:pPr>
    <w:rPr>
      <w:rFonts w:ascii="Helvetica Neue" w:eastAsia="Times New Roman" w:hAnsi="Helvetica Neue" w:cs="Times New Roman"/>
      <w:color w:val="auto"/>
      <w:lang w:val="en-GB"/>
    </w:rPr>
  </w:style>
  <w:style w:type="character" w:customStyle="1" w:styleId="A8">
    <w:name w:val="A8"/>
    <w:uiPriority w:val="99"/>
    <w:rsid w:val="00AB7EA0"/>
    <w:rPr>
      <w:color w:val="000000"/>
      <w:sz w:val="14"/>
    </w:rPr>
  </w:style>
  <w:style w:type="paragraph" w:customStyle="1" w:styleId="AlphaList1">
    <w:name w:val="AlphaList 1"/>
    <w:basedOn w:val="Normal"/>
    <w:uiPriority w:val="31"/>
    <w:qFormat/>
    <w:rsid w:val="00AB7EA0"/>
    <w:pPr>
      <w:numPr>
        <w:numId w:val="26"/>
      </w:numPr>
      <w:spacing w:after="160" w:line="260" w:lineRule="atLeast"/>
      <w:ind w:left="720" w:hanging="360"/>
    </w:pPr>
    <w:rPr>
      <w:rFonts w:ascii="Arial" w:hAnsi="Arial"/>
      <w:sz w:val="22"/>
      <w:szCs w:val="20"/>
      <w:lang w:val="en-US" w:eastAsia="en-US"/>
    </w:rPr>
  </w:style>
  <w:style w:type="paragraph" w:customStyle="1" w:styleId="AlphaList2">
    <w:name w:val="AlphaList 2"/>
    <w:basedOn w:val="Normal"/>
    <w:uiPriority w:val="31"/>
    <w:qFormat/>
    <w:rsid w:val="00AB7EA0"/>
    <w:pPr>
      <w:numPr>
        <w:ilvl w:val="1"/>
        <w:numId w:val="26"/>
      </w:numPr>
      <w:spacing w:after="160" w:line="260" w:lineRule="atLeast"/>
      <w:ind w:left="1440" w:hanging="360"/>
    </w:pPr>
    <w:rPr>
      <w:rFonts w:ascii="Arial" w:hAnsi="Arial"/>
      <w:sz w:val="22"/>
      <w:szCs w:val="20"/>
      <w:lang w:val="en-US" w:eastAsia="en-US"/>
    </w:rPr>
  </w:style>
  <w:style w:type="paragraph" w:styleId="TableofFigures">
    <w:name w:val="table of figures"/>
    <w:basedOn w:val="Normal"/>
    <w:next w:val="Normal"/>
    <w:uiPriority w:val="99"/>
    <w:unhideWhenUsed/>
    <w:rsid w:val="00AB7EA0"/>
    <w:pPr>
      <w:spacing w:before="120"/>
      <w:jc w:val="both"/>
    </w:pPr>
    <w:rPr>
      <w:rFonts w:ascii="Calibri" w:hAnsi="Calibri"/>
      <w:sz w:val="22"/>
      <w:lang w:val="en-US" w:eastAsia="en-GB"/>
    </w:rPr>
  </w:style>
  <w:style w:type="numbering" w:customStyle="1" w:styleId="NumbListAlpha">
    <w:name w:val="NumbListAlpha"/>
    <w:rsid w:val="006E03F9"/>
    <w:pPr>
      <w:numPr>
        <w:numId w:val="25"/>
      </w:numPr>
    </w:pPr>
  </w:style>
  <w:style w:type="paragraph" w:styleId="Revision">
    <w:name w:val="Revision"/>
    <w:hidden/>
    <w:uiPriority w:val="99"/>
    <w:semiHidden/>
    <w:rsid w:val="002B792A"/>
    <w:pPr>
      <w:spacing w:after="0" w:line="240" w:lineRule="auto"/>
    </w:pPr>
    <w:rPr>
      <w:sz w:val="24"/>
      <w:szCs w:val="24"/>
      <w:lang w:eastAsia="sr-Latn-CS"/>
    </w:rPr>
  </w:style>
  <w:style w:type="paragraph" w:customStyle="1" w:styleId="yiv3014417169ydp357c3e0bmsonormal">
    <w:name w:val="yiv3014417169ydp357c3e0bmsonormal"/>
    <w:basedOn w:val="Normal"/>
    <w:rsid w:val="00AC60C6"/>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251191">
      <w:bodyDiv w:val="1"/>
      <w:marLeft w:val="0"/>
      <w:marRight w:val="0"/>
      <w:marTop w:val="0"/>
      <w:marBottom w:val="0"/>
      <w:divBdr>
        <w:top w:val="none" w:sz="0" w:space="0" w:color="auto"/>
        <w:left w:val="none" w:sz="0" w:space="0" w:color="auto"/>
        <w:bottom w:val="none" w:sz="0" w:space="0" w:color="auto"/>
        <w:right w:val="none" w:sz="0" w:space="0" w:color="auto"/>
      </w:divBdr>
    </w:div>
    <w:div w:id="1411465429">
      <w:marLeft w:val="0"/>
      <w:marRight w:val="0"/>
      <w:marTop w:val="0"/>
      <w:marBottom w:val="0"/>
      <w:divBdr>
        <w:top w:val="none" w:sz="0" w:space="0" w:color="auto"/>
        <w:left w:val="none" w:sz="0" w:space="0" w:color="auto"/>
        <w:bottom w:val="none" w:sz="0" w:space="0" w:color="auto"/>
        <w:right w:val="none" w:sz="0" w:space="0" w:color="auto"/>
      </w:divBdr>
    </w:div>
    <w:div w:id="1411465430">
      <w:marLeft w:val="0"/>
      <w:marRight w:val="0"/>
      <w:marTop w:val="0"/>
      <w:marBottom w:val="0"/>
      <w:divBdr>
        <w:top w:val="none" w:sz="0" w:space="0" w:color="auto"/>
        <w:left w:val="none" w:sz="0" w:space="0" w:color="auto"/>
        <w:bottom w:val="none" w:sz="0" w:space="0" w:color="auto"/>
        <w:right w:val="none" w:sz="0" w:space="0" w:color="auto"/>
      </w:divBdr>
    </w:div>
    <w:div w:id="1411465431">
      <w:marLeft w:val="0"/>
      <w:marRight w:val="0"/>
      <w:marTop w:val="0"/>
      <w:marBottom w:val="0"/>
      <w:divBdr>
        <w:top w:val="none" w:sz="0" w:space="0" w:color="auto"/>
        <w:left w:val="none" w:sz="0" w:space="0" w:color="auto"/>
        <w:bottom w:val="none" w:sz="0" w:space="0" w:color="auto"/>
        <w:right w:val="none" w:sz="0" w:space="0" w:color="auto"/>
      </w:divBdr>
    </w:div>
    <w:div w:id="1411465432">
      <w:marLeft w:val="0"/>
      <w:marRight w:val="0"/>
      <w:marTop w:val="0"/>
      <w:marBottom w:val="0"/>
      <w:divBdr>
        <w:top w:val="none" w:sz="0" w:space="0" w:color="auto"/>
        <w:left w:val="none" w:sz="0" w:space="0" w:color="auto"/>
        <w:bottom w:val="none" w:sz="0" w:space="0" w:color="auto"/>
        <w:right w:val="none" w:sz="0" w:space="0" w:color="auto"/>
      </w:divBdr>
    </w:div>
    <w:div w:id="1411465433">
      <w:marLeft w:val="0"/>
      <w:marRight w:val="0"/>
      <w:marTop w:val="0"/>
      <w:marBottom w:val="0"/>
      <w:divBdr>
        <w:top w:val="none" w:sz="0" w:space="0" w:color="auto"/>
        <w:left w:val="none" w:sz="0" w:space="0" w:color="auto"/>
        <w:bottom w:val="none" w:sz="0" w:space="0" w:color="auto"/>
        <w:right w:val="none" w:sz="0" w:space="0" w:color="auto"/>
      </w:divBdr>
    </w:div>
    <w:div w:id="1411465434">
      <w:marLeft w:val="0"/>
      <w:marRight w:val="0"/>
      <w:marTop w:val="0"/>
      <w:marBottom w:val="0"/>
      <w:divBdr>
        <w:top w:val="none" w:sz="0" w:space="0" w:color="auto"/>
        <w:left w:val="none" w:sz="0" w:space="0" w:color="auto"/>
        <w:bottom w:val="none" w:sz="0" w:space="0" w:color="auto"/>
        <w:right w:val="none" w:sz="0" w:space="0" w:color="auto"/>
      </w:divBdr>
    </w:div>
    <w:div w:id="1411465435">
      <w:marLeft w:val="0"/>
      <w:marRight w:val="0"/>
      <w:marTop w:val="0"/>
      <w:marBottom w:val="0"/>
      <w:divBdr>
        <w:top w:val="none" w:sz="0" w:space="0" w:color="auto"/>
        <w:left w:val="none" w:sz="0" w:space="0" w:color="auto"/>
        <w:bottom w:val="none" w:sz="0" w:space="0" w:color="auto"/>
        <w:right w:val="none" w:sz="0" w:space="0" w:color="auto"/>
      </w:divBdr>
    </w:div>
    <w:div w:id="1411465436">
      <w:marLeft w:val="0"/>
      <w:marRight w:val="0"/>
      <w:marTop w:val="0"/>
      <w:marBottom w:val="0"/>
      <w:divBdr>
        <w:top w:val="none" w:sz="0" w:space="0" w:color="auto"/>
        <w:left w:val="none" w:sz="0" w:space="0" w:color="auto"/>
        <w:bottom w:val="none" w:sz="0" w:space="0" w:color="auto"/>
        <w:right w:val="none" w:sz="0" w:space="0" w:color="auto"/>
      </w:divBdr>
    </w:div>
    <w:div w:id="1411465437">
      <w:marLeft w:val="0"/>
      <w:marRight w:val="0"/>
      <w:marTop w:val="0"/>
      <w:marBottom w:val="0"/>
      <w:divBdr>
        <w:top w:val="none" w:sz="0" w:space="0" w:color="auto"/>
        <w:left w:val="none" w:sz="0" w:space="0" w:color="auto"/>
        <w:bottom w:val="none" w:sz="0" w:space="0" w:color="auto"/>
        <w:right w:val="none" w:sz="0" w:space="0" w:color="auto"/>
      </w:divBdr>
    </w:div>
    <w:div w:id="1411465438">
      <w:marLeft w:val="0"/>
      <w:marRight w:val="0"/>
      <w:marTop w:val="0"/>
      <w:marBottom w:val="0"/>
      <w:divBdr>
        <w:top w:val="none" w:sz="0" w:space="0" w:color="auto"/>
        <w:left w:val="none" w:sz="0" w:space="0" w:color="auto"/>
        <w:bottom w:val="none" w:sz="0" w:space="0" w:color="auto"/>
        <w:right w:val="none" w:sz="0" w:space="0" w:color="auto"/>
      </w:divBdr>
    </w:div>
    <w:div w:id="1411465439">
      <w:marLeft w:val="0"/>
      <w:marRight w:val="0"/>
      <w:marTop w:val="0"/>
      <w:marBottom w:val="0"/>
      <w:divBdr>
        <w:top w:val="none" w:sz="0" w:space="0" w:color="auto"/>
        <w:left w:val="none" w:sz="0" w:space="0" w:color="auto"/>
        <w:bottom w:val="none" w:sz="0" w:space="0" w:color="auto"/>
        <w:right w:val="none" w:sz="0" w:space="0" w:color="auto"/>
      </w:divBdr>
    </w:div>
    <w:div w:id="1411465440">
      <w:marLeft w:val="0"/>
      <w:marRight w:val="0"/>
      <w:marTop w:val="0"/>
      <w:marBottom w:val="0"/>
      <w:divBdr>
        <w:top w:val="none" w:sz="0" w:space="0" w:color="auto"/>
        <w:left w:val="none" w:sz="0" w:space="0" w:color="auto"/>
        <w:bottom w:val="none" w:sz="0" w:space="0" w:color="auto"/>
        <w:right w:val="none" w:sz="0" w:space="0" w:color="auto"/>
      </w:divBdr>
    </w:div>
    <w:div w:id="1411465441">
      <w:marLeft w:val="0"/>
      <w:marRight w:val="0"/>
      <w:marTop w:val="0"/>
      <w:marBottom w:val="0"/>
      <w:divBdr>
        <w:top w:val="none" w:sz="0" w:space="0" w:color="auto"/>
        <w:left w:val="none" w:sz="0" w:space="0" w:color="auto"/>
        <w:bottom w:val="none" w:sz="0" w:space="0" w:color="auto"/>
        <w:right w:val="none" w:sz="0" w:space="0" w:color="auto"/>
      </w:divBdr>
    </w:div>
    <w:div w:id="1411465442">
      <w:marLeft w:val="0"/>
      <w:marRight w:val="0"/>
      <w:marTop w:val="0"/>
      <w:marBottom w:val="0"/>
      <w:divBdr>
        <w:top w:val="none" w:sz="0" w:space="0" w:color="auto"/>
        <w:left w:val="none" w:sz="0" w:space="0" w:color="auto"/>
        <w:bottom w:val="none" w:sz="0" w:space="0" w:color="auto"/>
        <w:right w:val="none" w:sz="0" w:space="0" w:color="auto"/>
      </w:divBdr>
    </w:div>
    <w:div w:id="1411465443">
      <w:marLeft w:val="0"/>
      <w:marRight w:val="0"/>
      <w:marTop w:val="0"/>
      <w:marBottom w:val="0"/>
      <w:divBdr>
        <w:top w:val="none" w:sz="0" w:space="0" w:color="auto"/>
        <w:left w:val="none" w:sz="0" w:space="0" w:color="auto"/>
        <w:bottom w:val="none" w:sz="0" w:space="0" w:color="auto"/>
        <w:right w:val="none" w:sz="0" w:space="0" w:color="auto"/>
      </w:divBdr>
    </w:div>
    <w:div w:id="1411465444">
      <w:marLeft w:val="0"/>
      <w:marRight w:val="0"/>
      <w:marTop w:val="0"/>
      <w:marBottom w:val="0"/>
      <w:divBdr>
        <w:top w:val="none" w:sz="0" w:space="0" w:color="auto"/>
        <w:left w:val="none" w:sz="0" w:space="0" w:color="auto"/>
        <w:bottom w:val="none" w:sz="0" w:space="0" w:color="auto"/>
        <w:right w:val="none" w:sz="0" w:space="0" w:color="auto"/>
      </w:divBdr>
    </w:div>
    <w:div w:id="1411465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DELL\Desktop\ThinkPad\Downloads\download.htm" TargetMode="External"/><Relationship Id="rId18" Type="http://schemas.openxmlformats.org/officeDocument/2006/relationships/hyperlink" Target="https://www.euro.who.int/__data/assets/pdf_file/0007/283804/65wd17e_Rev1_TBActionPlan_150588_withCover.pdf" TargetMode="External"/><Relationship Id="rId3" Type="http://schemas.openxmlformats.org/officeDocument/2006/relationships/styles" Target="styles.xml"/><Relationship Id="rId21" Type="http://schemas.openxmlformats.org/officeDocument/2006/relationships/hyperlink" Target="https://ec.europa.eu/neighbourhood-enlargement/system/files/2020-10/kosovo_report_2020.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pps.who.int/iris/bitstream/handle/10665/333854/70wd08e-N-PR-TBActionPlan-200642.pdf?sequence=1&amp;isAllowed=y" TargetMode="External"/><Relationship Id="rId2" Type="http://schemas.openxmlformats.org/officeDocument/2006/relationships/numbering" Target="numbering.xml"/><Relationship Id="rId16" Type="http://schemas.openxmlformats.org/officeDocument/2006/relationships/hyperlink" Target="http://krct.org/fajllat/uploads/2020/12/Monitoring-Report-2020-2.pdf" TargetMode="External"/><Relationship Id="rId20" Type="http://schemas.openxmlformats.org/officeDocument/2006/relationships/hyperlink" Target="https://www.who.int/publications/i/item/97892400294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icef.org/kosovoprogramme/media/1871/file/Kosovo%20MICS%202020.pdf"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www.who.int/publications/i/item/978924000704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vikos.net/repository/docs/Strategy_eng_291507.pdf" TargetMode="External"/><Relationship Id="rId22" Type="http://schemas.openxmlformats.org/officeDocument/2006/relationships/hyperlink" Target="https://msh.rks-gov.net/sq/publikimet/raporte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f.rks-gov.net/desk/inc/media/BF918317-EB51-4D24-A2A0-CD6F685A4EA6.pdf" TargetMode="External"/><Relationship Id="rId13" Type="http://schemas.openxmlformats.org/officeDocument/2006/relationships/hyperlink" Target="https://zqm.rks-gov.net/assets/cms/uploads/files/Strategjia%20ne%20tri%20gjuhe.pdf" TargetMode="External"/><Relationship Id="rId18" Type="http://schemas.openxmlformats.org/officeDocument/2006/relationships/hyperlink" Target="https://ec.europa.eu/neighbourhood-enlargement/system/files/2020-10/kosovo_report_2020.pdf" TargetMode="External"/><Relationship Id="rId3" Type="http://schemas.openxmlformats.org/officeDocument/2006/relationships/hyperlink" Target="http://www.stoptb.org/webadmin/cms/docs/Political-DKElaraion-on-the-Fight-against-Tuberculosis.pdf" TargetMode="External"/><Relationship Id="rId7" Type="http://schemas.openxmlformats.org/officeDocument/2006/relationships/hyperlink" Target="https://gzk.rks-gov.net/ActDetail.aspx?ActID=8666" TargetMode="External"/><Relationship Id="rId12" Type="http://schemas.openxmlformats.org/officeDocument/2006/relationships/hyperlink" Target="https://www.unicef.org/kosovoprogramme/media/1871/file/Kosovo%20MICS%202020.pdf" TargetMode="External"/><Relationship Id="rId17" Type="http://schemas.openxmlformats.org/officeDocument/2006/relationships/hyperlink" Target="https://www.who.int/news-room/fact-sheets/detail/tuberculosis" TargetMode="External"/><Relationship Id="rId2" Type="http://schemas.openxmlformats.org/officeDocument/2006/relationships/hyperlink" Target="https://gzk.rks-gov.net/ActDetail.aspx?ActID=8666" TargetMode="External"/><Relationship Id="rId16" Type="http://schemas.openxmlformats.org/officeDocument/2006/relationships/hyperlink" Target="https://www.who.int/health-topics/social-determinants-of-health" TargetMode="External"/><Relationship Id="rId1" Type="http://schemas.openxmlformats.org/officeDocument/2006/relationships/hyperlink" Target="javascript:__doPostBack('ctl00$MainContent$rAktet$ctl00$lblAn','')" TargetMode="External"/><Relationship Id="rId6" Type="http://schemas.openxmlformats.org/officeDocument/2006/relationships/hyperlink" Target="javascript:__doPostBack('ctl00$MainContent$rAktet$ctl00$lblAn','')" TargetMode="External"/><Relationship Id="rId11" Type="http://schemas.openxmlformats.org/officeDocument/2006/relationships/hyperlink" Target="https://www.euro.who.int/__data/assets/pdf_file/0007/283804/65wd17e_Rev1_TBActionPlan_150588_withCover.pdf" TargetMode="External"/><Relationship Id="rId5" Type="http://schemas.openxmlformats.org/officeDocument/2006/relationships/hyperlink" Target="https://www.euro.who.int/__data/assets/pdf_file/0007/283804/65wd17e_Rev1_TBActionPlan_150588_withCover.pdf" TargetMode="External"/><Relationship Id="rId15" Type="http://schemas.openxmlformats.org/officeDocument/2006/relationships/hyperlink" Target="https://www.euro.who.int/__data/assets/pdf_file/0007/283804/65wd17e_Rev1_TBActionPlan_150588_withCover.pdf" TargetMode="External"/><Relationship Id="rId10" Type="http://schemas.openxmlformats.org/officeDocument/2006/relationships/hyperlink" Target="https://msh.rks-gov.net/wp-content/uploads/2020/03/2007_02-L78-Law-on-Public-Health.pdf" TargetMode="External"/><Relationship Id="rId19" Type="http://schemas.openxmlformats.org/officeDocument/2006/relationships/hyperlink" Target="http://www.stoptb.org/assets/documents/resources/publications/acsm/Gender_Assessment_Tool_TB_HIV_UNAIDS_FINAL_2016%20ENG.pdf" TargetMode="External"/><Relationship Id="rId4" Type="http://schemas.openxmlformats.org/officeDocument/2006/relationships/hyperlink" Target="https://sdgs.un.org/goals/goal3" TargetMode="External"/><Relationship Id="rId9" Type="http://schemas.openxmlformats.org/officeDocument/2006/relationships/hyperlink" Target="http://www.stoptb.org/assets/documents/resources/publications/acsm/Gender_Assessment_Tool_TB_HIV_UNAIDS_FINAL_2016%20ENG.pdf" TargetMode="External"/><Relationship Id="rId14" Type="http://schemas.openxmlformats.org/officeDocument/2006/relationships/hyperlink" Target="https://msh.rks-gov.net/sq/publikimet/raporte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w="28591" cap="rnd">
              <a:solidFill>
                <a:schemeClr val="accent1"/>
              </a:solidFill>
              <a:round/>
            </a:ln>
            <a:effectLst/>
          </c:spPr>
          <c:marker>
            <c:symbol val="none"/>
          </c:marker>
          <c:cat>
            <c:numRef>
              <c:f>'TB incidence '!$D$5:$D$24</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'TB incidence '!$E$5:$E$24</c:f>
            </c:numRef>
          </c:val>
          <c:smooth val="0"/>
          <c:extLst>
            <c:ext xmlns:c16="http://schemas.microsoft.com/office/drawing/2014/chart" uri="{C3380CC4-5D6E-409C-BE32-E72D297353CC}">
              <c16:uniqueId val="{00000000-BCB2-E64F-9B45-395EFCE35FCC}"/>
            </c:ext>
          </c:extLst>
        </c:ser>
        <c:ser>
          <c:idx val="1"/>
          <c:order val="1"/>
          <c:spPr>
            <a:ln w="28591" cap="rnd">
              <a:solidFill>
                <a:schemeClr val="accent2"/>
              </a:solidFill>
              <a:round/>
            </a:ln>
            <a:effectLst/>
          </c:spPr>
          <c:marker>
            <c:symbol val="circle"/>
            <c:size val="5"/>
            <c:spPr>
              <a:solidFill>
                <a:schemeClr val="accent2"/>
              </a:solidFill>
              <a:ln w="9530">
                <a:solidFill>
                  <a:schemeClr val="accent2"/>
                </a:solidFill>
              </a:ln>
              <a:effectLst/>
            </c:spPr>
          </c:marker>
          <c:cat>
            <c:numRef>
              <c:f>'TB incidence '!$D$5:$D$24</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'TB incidence '!$F$5:$F$24</c:f>
            </c:numRef>
          </c:val>
          <c:smooth val="0"/>
          <c:extLst>
            <c:ext xmlns:c16="http://schemas.microsoft.com/office/drawing/2014/chart" uri="{C3380CC4-5D6E-409C-BE32-E72D297353CC}">
              <c16:uniqueId val="{00000001-BCB2-E64F-9B45-395EFCE35FCC}"/>
            </c:ext>
          </c:extLst>
        </c:ser>
        <c:ser>
          <c:idx val="2"/>
          <c:order val="2"/>
          <c:spPr>
            <a:ln w="34944" cap="rnd">
              <a:solidFill>
                <a:schemeClr val="accent1">
                  <a:lumMod val="75000"/>
                </a:schemeClr>
              </a:solidFill>
              <a:round/>
            </a:ln>
            <a:effectLst/>
          </c:spPr>
          <c:marker>
            <c:symbol val="none"/>
          </c:marker>
          <c:dLbls>
            <c:dLbl>
              <c:idx val="4"/>
              <c:layout>
                <c:manualLayout>
                  <c:x val="-1.9794140934283463E-3"/>
                  <c:y val="-7.40740740740740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9A-47F4-9F4F-483924D92F1E}"/>
                </c:ext>
              </c:extLst>
            </c:dLbl>
            <c:dLbl>
              <c:idx val="6"/>
              <c:layout>
                <c:manualLayout>
                  <c:x val="-2.3752969121140208E-2"/>
                  <c:y val="4.79302832244009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9A-47F4-9F4F-483924D92F1E}"/>
                </c:ext>
              </c:extLst>
            </c:dLbl>
            <c:dLbl>
              <c:idx val="7"/>
              <c:layout>
                <c:manualLayout>
                  <c:x val="3.9588281868566918E-3"/>
                  <c:y val="-5.6644880174291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9A-47F4-9F4F-483924D92F1E}"/>
                </c:ext>
              </c:extLst>
            </c:dLbl>
            <c:dLbl>
              <c:idx val="9"/>
              <c:layout>
                <c:manualLayout>
                  <c:x val="1.9794140934283463E-3"/>
                  <c:y val="-6.97167755991289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9A-47F4-9F4F-483924D92F1E}"/>
                </c:ext>
              </c:extLst>
            </c:dLbl>
            <c:dLbl>
              <c:idx val="12"/>
              <c:layout>
                <c:manualLayout>
                  <c:x val="-1.9793361637397088E-3"/>
                  <c:y val="6.9716775599128908E-2"/>
                </c:manualLayout>
              </c:layout>
              <c:numFmt formatCode="#,##0.0" sourceLinked="0"/>
              <c:spPr>
                <a:noFill/>
                <a:ln w="25414">
                  <a:noFill/>
                </a:ln>
              </c:spPr>
              <c:txPr>
                <a:bodyPr rot="0" spcFirstLastPara="1" vertOverflow="ellipsis" vert="horz" wrap="square" lIns="38100" tIns="19050" rIns="38100" bIns="19050" anchor="ctr" anchorCtr="1">
                  <a:noAutofit/>
                </a:bodyPr>
                <a:lstStyle/>
                <a:p>
                  <a:pPr>
                    <a:defRPr sz="1001" b="1"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BA9A-47F4-9F4F-483924D92F1E}"/>
                </c:ext>
              </c:extLst>
            </c:dLbl>
            <c:dLbl>
              <c:idx val="13"/>
              <c:layout>
                <c:manualLayout>
                  <c:x val="5.9382422802849374E-3"/>
                  <c:y val="-6.53594771241831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9A-47F4-9F4F-483924D92F1E}"/>
                </c:ext>
              </c:extLst>
            </c:dLbl>
            <c:dLbl>
              <c:idx val="15"/>
              <c:layout>
                <c:manualLayout>
                  <c:x val="-7.9176563737134078E-3"/>
                  <c:y val="6.10021786492374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A9A-47F4-9F4F-483924D92F1E}"/>
                </c:ext>
              </c:extLst>
            </c:dLbl>
            <c:dLbl>
              <c:idx val="16"/>
              <c:layout>
                <c:manualLayout>
                  <c:x val="-1.9794140934284903E-3"/>
                  <c:y val="-6.53594771241831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A9A-47F4-9F4F-483924D92F1E}"/>
                </c:ext>
              </c:extLst>
            </c:dLbl>
            <c:dLbl>
              <c:idx val="17"/>
              <c:layout>
                <c:manualLayout>
                  <c:x val="-1.9794140934283463E-3"/>
                  <c:y val="9.58605664488017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A9A-47F4-9F4F-483924D92F1E}"/>
                </c:ext>
              </c:extLst>
            </c:dLbl>
            <c:numFmt formatCode="#,##0.0" sourceLinked="0"/>
            <c:spPr>
              <a:noFill/>
              <a:ln w="25414">
                <a:noFill/>
              </a:ln>
            </c:spPr>
            <c:txPr>
              <a:bodyPr rot="0" spcFirstLastPara="1" vertOverflow="ellipsis" vert="horz" wrap="square" lIns="38100" tIns="19050" rIns="38100" bIns="19050" anchor="ctr" anchorCtr="1">
                <a:spAutoFit/>
              </a:bodyPr>
              <a:lstStyle/>
              <a:p>
                <a:pPr>
                  <a:defRPr sz="1001"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'TB incidence '!$D$5:$D$24</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'TB incidence '!$G$5:$G$24</c:f>
              <c:numCache>
                <c:formatCode>0.0</c:formatCode>
                <c:ptCount val="20"/>
                <c:pt idx="0" formatCode="General">
                  <c:v>83.7</c:v>
                </c:pt>
                <c:pt idx="1">
                  <c:v>72.149999999999991</c:v>
                </c:pt>
                <c:pt idx="2">
                  <c:v>56.35</c:v>
                </c:pt>
                <c:pt idx="3">
                  <c:v>50.449999999999996</c:v>
                </c:pt>
                <c:pt idx="4" formatCode="General">
                  <c:v>55.100000000000009</c:v>
                </c:pt>
                <c:pt idx="5" formatCode="General">
                  <c:v>56.100000000000009</c:v>
                </c:pt>
                <c:pt idx="6" formatCode="General">
                  <c:v>46.5</c:v>
                </c:pt>
                <c:pt idx="7" formatCode="General">
                  <c:v>47.4</c:v>
                </c:pt>
                <c:pt idx="8">
                  <c:v>45.05</c:v>
                </c:pt>
                <c:pt idx="9" formatCode="General">
                  <c:v>46</c:v>
                </c:pt>
                <c:pt idx="10">
                  <c:v>47.035407209315899</c:v>
                </c:pt>
                <c:pt idx="11">
                  <c:v>53.315532114346375</c:v>
                </c:pt>
                <c:pt idx="12">
                  <c:v>50.641782986228407</c:v>
                </c:pt>
                <c:pt idx="13">
                  <c:v>46.206419700556005</c:v>
                </c:pt>
                <c:pt idx="14" formatCode="General">
                  <c:v>43.4</c:v>
                </c:pt>
                <c:pt idx="15">
                  <c:v>40.201151535913866</c:v>
                </c:pt>
                <c:pt idx="16" formatCode="General">
                  <c:v>39.6</c:v>
                </c:pt>
                <c:pt idx="17">
                  <c:v>39.094129977401153</c:v>
                </c:pt>
                <c:pt idx="18">
                  <c:v>34.300000000000004</c:v>
                </c:pt>
                <c:pt idx="19">
                  <c:v>24.7</c:v>
                </c:pt>
              </c:numCache>
            </c:numRef>
          </c:val>
          <c:smooth val="0"/>
          <c:extLst>
            <c:ext xmlns:c16="http://schemas.microsoft.com/office/drawing/2014/chart" uri="{C3380CC4-5D6E-409C-BE32-E72D297353CC}">
              <c16:uniqueId val="{00000002-BCB2-E64F-9B45-395EFCE35FCC}"/>
            </c:ext>
          </c:extLst>
        </c:ser>
        <c:dLbls>
          <c:showLegendKey val="0"/>
          <c:showVal val="0"/>
          <c:showCatName val="0"/>
          <c:showSerName val="0"/>
          <c:showPercent val="0"/>
          <c:showBubbleSize val="0"/>
        </c:dLbls>
        <c:smooth val="0"/>
        <c:axId val="84148608"/>
        <c:axId val="84150528"/>
      </c:lineChart>
      <c:catAx>
        <c:axId val="84148608"/>
        <c:scaling>
          <c:orientation val="minMax"/>
        </c:scaling>
        <c:delete val="0"/>
        <c:axPos val="b"/>
        <c:title>
          <c:tx>
            <c:rich>
              <a:bodyPr/>
              <a:lstStyle/>
              <a:p>
                <a:pPr>
                  <a:defRPr sz="1001" b="0" i="0" u="none" strike="noStrike" baseline="0">
                    <a:solidFill>
                      <a:srgbClr val="333333"/>
                    </a:solidFill>
                    <a:latin typeface="Calibri"/>
                    <a:ea typeface="Calibri"/>
                    <a:cs typeface="Calibri"/>
                  </a:defRPr>
                </a:pPr>
                <a:r>
                  <a:rPr lang="en-US"/>
                  <a:t>Vitet</a:t>
                </a:r>
              </a:p>
            </c:rich>
          </c:tx>
          <c:overlay val="0"/>
          <c:spPr>
            <a:noFill/>
            <a:ln w="25414">
              <a:noFill/>
            </a:ln>
          </c:spPr>
        </c:title>
        <c:numFmt formatCode="General" sourceLinked="1"/>
        <c:majorTickMark val="none"/>
        <c:minorTickMark val="none"/>
        <c:tickLblPos val="nextTo"/>
        <c:spPr>
          <a:noFill/>
          <a:ln w="9530" cap="flat" cmpd="sng" algn="ctr">
            <a:solidFill>
              <a:schemeClr val="tx1">
                <a:lumMod val="15000"/>
                <a:lumOff val="85000"/>
              </a:schemeClr>
            </a:solidFill>
            <a:round/>
          </a:ln>
          <a:effectLst/>
        </c:spPr>
        <c:txPr>
          <a:bodyPr rot="-228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50528"/>
        <c:crosses val="autoZero"/>
        <c:auto val="1"/>
        <c:lblAlgn val="ctr"/>
        <c:lblOffset val="100"/>
        <c:noMultiLvlLbl val="0"/>
      </c:catAx>
      <c:valAx>
        <c:axId val="84150528"/>
        <c:scaling>
          <c:orientation val="minMax"/>
        </c:scaling>
        <c:delete val="0"/>
        <c:axPos val="l"/>
        <c:majorGridlines>
          <c:spPr>
            <a:ln w="9530" cap="flat" cmpd="sng" algn="ctr">
              <a:solidFill>
                <a:schemeClr val="tx1">
                  <a:lumMod val="15000"/>
                  <a:lumOff val="85000"/>
                </a:schemeClr>
              </a:solidFill>
              <a:round/>
            </a:ln>
            <a:effectLst/>
          </c:spPr>
        </c:majorGridlines>
        <c:title>
          <c:tx>
            <c:rich>
              <a:bodyPr/>
              <a:lstStyle/>
              <a:p>
                <a:pPr>
                  <a:defRPr sz="1001" b="0" i="0" u="none" strike="noStrike" baseline="0">
                    <a:solidFill>
                      <a:srgbClr val="333333"/>
                    </a:solidFill>
                    <a:latin typeface="Calibri"/>
                    <a:ea typeface="Calibri"/>
                    <a:cs typeface="Calibri"/>
                  </a:defRPr>
                </a:pPr>
                <a:r>
                  <a:rPr lang="en-US"/>
                  <a:t>Në 100,000 banorë</a:t>
                </a:r>
              </a:p>
            </c:rich>
          </c:tx>
          <c:overlay val="0"/>
          <c:spPr>
            <a:noFill/>
            <a:ln w="25414">
              <a:noFill/>
            </a:ln>
          </c:spPr>
        </c:title>
        <c:numFmt formatCode="General" sourceLinked="1"/>
        <c:majorTickMark val="none"/>
        <c:minorTickMark val="none"/>
        <c:tickLblPos val="nextTo"/>
        <c:spPr>
          <a:ln w="6353">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48608"/>
        <c:crosses val="autoZero"/>
        <c:crossBetween val="between"/>
      </c:valAx>
      <c:spPr>
        <a:noFill/>
        <a:ln w="25414">
          <a:noFill/>
        </a:ln>
      </c:spPr>
    </c:plotArea>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w="28543" cap="rnd">
              <a:solidFill>
                <a:schemeClr val="accent1"/>
              </a:solidFill>
              <a:round/>
            </a:ln>
            <a:effectLst/>
          </c:spPr>
          <c:marker>
            <c:symbol val="circle"/>
            <c:size val="4"/>
            <c:spPr>
              <a:solidFill>
                <a:schemeClr val="accent1"/>
              </a:solidFill>
              <a:ln w="9514">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'TB by age groups'!$B$5:$I$5</c:f>
              <c:strCache>
                <c:ptCount val="8"/>
                <c:pt idx="0">
                  <c:v>0-4 y.</c:v>
                </c:pt>
                <c:pt idx="1">
                  <c:v>5-14 y.</c:v>
                </c:pt>
                <c:pt idx="2">
                  <c:v>15-24 y.</c:v>
                </c:pt>
                <c:pt idx="3">
                  <c:v>25-34 y.</c:v>
                </c:pt>
                <c:pt idx="4">
                  <c:v>35-44 y.</c:v>
                </c:pt>
                <c:pt idx="5">
                  <c:v>45-54 y.</c:v>
                </c:pt>
                <c:pt idx="6">
                  <c:v>55-64 y.</c:v>
                </c:pt>
                <c:pt idx="7">
                  <c:v>&gt;65 y.</c:v>
                </c:pt>
              </c:strCache>
            </c:strRef>
          </c:cat>
          <c:val>
            <c:numRef>
              <c:f>'TB by age groups'!$B$6:$I$6</c:f>
              <c:numCache>
                <c:formatCode>0</c:formatCode>
                <c:ptCount val="8"/>
                <c:pt idx="0">
                  <c:v>5</c:v>
                </c:pt>
                <c:pt idx="1">
                  <c:v>6</c:v>
                </c:pt>
                <c:pt idx="2">
                  <c:v>95</c:v>
                </c:pt>
                <c:pt idx="3">
                  <c:v>102</c:v>
                </c:pt>
                <c:pt idx="4">
                  <c:v>69</c:v>
                </c:pt>
                <c:pt idx="5">
                  <c:v>92</c:v>
                </c:pt>
                <c:pt idx="6">
                  <c:v>96</c:v>
                </c:pt>
                <c:pt idx="7">
                  <c:v>146</c:v>
                </c:pt>
              </c:numCache>
            </c:numRef>
          </c:val>
          <c:smooth val="0"/>
          <c:extLst>
            <c:ext xmlns:c16="http://schemas.microsoft.com/office/drawing/2014/chart" uri="{C3380CC4-5D6E-409C-BE32-E72D297353CC}">
              <c16:uniqueId val="{00000000-BEB7-BA47-BDBF-0322665FFB95}"/>
            </c:ext>
          </c:extLst>
        </c:ser>
        <c:dLbls>
          <c:showLegendKey val="0"/>
          <c:showVal val="0"/>
          <c:showCatName val="0"/>
          <c:showSerName val="0"/>
          <c:showPercent val="0"/>
          <c:showBubbleSize val="0"/>
        </c:dLbls>
        <c:marker val="1"/>
        <c:smooth val="0"/>
        <c:axId val="84199680"/>
        <c:axId val="85852544"/>
      </c:lineChart>
      <c:catAx>
        <c:axId val="84199680"/>
        <c:scaling>
          <c:orientation val="minMax"/>
        </c:scaling>
        <c:delete val="0"/>
        <c:axPos val="b"/>
        <c:title>
          <c:tx>
            <c:rich>
              <a:bodyPr/>
              <a:lstStyle/>
              <a:p>
                <a:pPr>
                  <a:defRPr sz="999" b="0" i="0" u="none" strike="noStrike" baseline="0">
                    <a:solidFill>
                      <a:srgbClr val="333333"/>
                    </a:solidFill>
                    <a:latin typeface="Calibri"/>
                    <a:ea typeface="Calibri"/>
                    <a:cs typeface="Calibri"/>
                  </a:defRPr>
                </a:pPr>
                <a:r>
                  <a:rPr lang="en-US"/>
                  <a:t>Grup moshat</a:t>
                </a:r>
              </a:p>
            </c:rich>
          </c:tx>
          <c:overlay val="0"/>
          <c:spPr>
            <a:noFill/>
            <a:ln>
              <a:noFill/>
            </a:ln>
            <a:effectLst/>
          </c:spPr>
        </c:title>
        <c:numFmt formatCode="General" sourceLinked="1"/>
        <c:majorTickMark val="none"/>
        <c:minorTickMark val="none"/>
        <c:tickLblPos val="nextTo"/>
        <c:spPr>
          <a:noFill/>
          <a:ln w="9514"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85852544"/>
        <c:crosses val="autoZero"/>
        <c:auto val="1"/>
        <c:lblAlgn val="ctr"/>
        <c:lblOffset val="100"/>
        <c:noMultiLvlLbl val="0"/>
      </c:catAx>
      <c:valAx>
        <c:axId val="85852544"/>
        <c:scaling>
          <c:orientation val="minMax"/>
        </c:scaling>
        <c:delete val="0"/>
        <c:axPos val="l"/>
        <c:majorGridlines>
          <c:spPr>
            <a:ln w="9514" cap="flat" cmpd="sng" algn="ctr">
              <a:solidFill>
                <a:schemeClr val="tx1">
                  <a:lumMod val="15000"/>
                  <a:lumOff val="85000"/>
                </a:schemeClr>
              </a:solidFill>
              <a:round/>
            </a:ln>
            <a:effectLst/>
          </c:spPr>
        </c:majorGridlines>
        <c:title>
          <c:tx>
            <c:rich>
              <a:bodyPr/>
              <a:lstStyle/>
              <a:p>
                <a:pPr>
                  <a:defRPr sz="999" b="0" i="0" u="none" strike="noStrike" baseline="0">
                    <a:solidFill>
                      <a:srgbClr val="333333"/>
                    </a:solidFill>
                    <a:latin typeface="Calibri"/>
                    <a:ea typeface="Calibri"/>
                    <a:cs typeface="Calibri"/>
                  </a:defRPr>
                </a:pPr>
                <a:r>
                  <a:rPr lang="en-US"/>
                  <a:t>Numri i rasteve të njoftuara me TB</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84199680"/>
        <c:crosses val="autoZero"/>
        <c:crossBetween val="between"/>
      </c:valAx>
      <c:spPr>
        <a:noFill/>
        <a:ln w="25372">
          <a:noFill/>
        </a:ln>
      </c:spPr>
    </c:plotArea>
    <c:plotVisOnly val="1"/>
    <c:dispBlanksAs val="gap"/>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0455-D425-41E1-9A0E-CEDE35FF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21094</Words>
  <Characters>120238</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SHTOJCA 1</vt:lpstr>
    </vt:vector>
  </TitlesOfParts>
  <Company>mps</Company>
  <LinksUpToDate>false</LinksUpToDate>
  <CharactersWithSpaces>141050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SHTOJCA 1</dc:title>
  <dc:creator>besim.kajtazi</dc:creator>
  <cp:lastModifiedBy>Faik Hoti</cp:lastModifiedBy>
  <cp:revision>2</cp:revision>
  <cp:lastPrinted>2021-11-08T13:14:00Z</cp:lastPrinted>
  <dcterms:created xsi:type="dcterms:W3CDTF">2023-01-10T13:43:00Z</dcterms:created>
  <dcterms:modified xsi:type="dcterms:W3CDTF">2023-01-10T13:43:00Z</dcterms:modified>
</cp:coreProperties>
</file>