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2AA" w:rsidRPr="00040A18" w:rsidRDefault="007028DF">
      <w:pPr>
        <w:pStyle w:val="Title"/>
        <w:jc w:val="left"/>
        <w:rPr>
          <w:rFonts w:ascii="Merriweather" w:eastAsia="Merriweather" w:hAnsi="Merriweather" w:cs="Merriweather"/>
          <w:color w:val="000000" w:themeColor="text1"/>
        </w:rPr>
      </w:pPr>
      <w:bookmarkStart w:id="0" w:name="_GoBack"/>
      <w:bookmarkEnd w:id="0"/>
      <w:r w:rsidRPr="00040A18">
        <w:rPr>
          <w:noProof/>
          <w:color w:val="000000" w:themeColor="text1"/>
        </w:rPr>
        <w:drawing>
          <wp:anchor distT="0" distB="0" distL="114300" distR="114300" simplePos="0" relativeHeight="251658240" behindDoc="0" locked="0" layoutInCell="1" hidden="0" allowOverlap="1" wp14:anchorId="0A3A8438" wp14:editId="01EF0514">
            <wp:simplePos x="0" y="0"/>
            <wp:positionH relativeFrom="column">
              <wp:posOffset>2320925</wp:posOffset>
            </wp:positionH>
            <wp:positionV relativeFrom="paragraph">
              <wp:posOffset>13970</wp:posOffset>
            </wp:positionV>
            <wp:extent cx="1193165" cy="1288415"/>
            <wp:effectExtent l="0" t="0" r="0" b="0"/>
            <wp:wrapSquare wrapText="bothSides" distT="0" distB="0" distL="114300" distR="114300"/>
            <wp:docPr id="8" name="image7.png" descr="stema_JPG"/>
            <wp:cNvGraphicFramePr/>
            <a:graphic xmlns:a="http://schemas.openxmlformats.org/drawingml/2006/main">
              <a:graphicData uri="http://schemas.openxmlformats.org/drawingml/2006/picture">
                <pic:pic xmlns:pic="http://schemas.openxmlformats.org/drawingml/2006/picture">
                  <pic:nvPicPr>
                    <pic:cNvPr id="0" name="image7.png" descr="stema_JPG"/>
                    <pic:cNvPicPr preferRelativeResize="0"/>
                  </pic:nvPicPr>
                  <pic:blipFill>
                    <a:blip r:embed="rId8"/>
                    <a:srcRect/>
                    <a:stretch>
                      <a:fillRect/>
                    </a:stretch>
                  </pic:blipFill>
                  <pic:spPr>
                    <a:xfrm>
                      <a:off x="0" y="0"/>
                      <a:ext cx="1193165" cy="1288415"/>
                    </a:xfrm>
                    <a:prstGeom prst="rect">
                      <a:avLst/>
                    </a:prstGeom>
                    <a:ln/>
                  </pic:spPr>
                </pic:pic>
              </a:graphicData>
            </a:graphic>
          </wp:anchor>
        </w:drawing>
      </w:r>
      <w:r w:rsidR="000A3EAC" w:rsidRPr="00040A18">
        <w:rPr>
          <w:rFonts w:ascii="Merriweather" w:eastAsia="Merriweather" w:hAnsi="Merriweather" w:cs="Merriweather"/>
          <w:color w:val="000000" w:themeColor="text1"/>
        </w:rPr>
        <w:br/>
      </w:r>
    </w:p>
    <w:p w:rsidR="00C412AA" w:rsidRPr="00040A18" w:rsidRDefault="00C412AA">
      <w:pPr>
        <w:pStyle w:val="Title"/>
        <w:rPr>
          <w:rFonts w:ascii="Merriweather" w:eastAsia="Merriweather" w:hAnsi="Merriweather" w:cs="Merriweather"/>
          <w:color w:val="000000" w:themeColor="text1"/>
        </w:rPr>
      </w:pPr>
    </w:p>
    <w:p w:rsidR="007028DF" w:rsidRPr="00040A18" w:rsidRDefault="007028DF">
      <w:pPr>
        <w:jc w:val="center"/>
        <w:rPr>
          <w:rFonts w:ascii="Book Antiqua" w:eastAsia="Book Antiqua" w:hAnsi="Book Antiqua" w:cs="Book Antiqua"/>
          <w:b/>
          <w:color w:val="000000" w:themeColor="text1"/>
          <w:sz w:val="32"/>
          <w:szCs w:val="32"/>
        </w:rPr>
      </w:pPr>
    </w:p>
    <w:p w:rsidR="007028DF" w:rsidRPr="00040A18" w:rsidRDefault="007028DF">
      <w:pPr>
        <w:jc w:val="center"/>
        <w:rPr>
          <w:rFonts w:ascii="Book Antiqua" w:eastAsia="Book Antiqua" w:hAnsi="Book Antiqua" w:cs="Book Antiqua"/>
          <w:b/>
          <w:color w:val="000000" w:themeColor="text1"/>
          <w:sz w:val="32"/>
          <w:szCs w:val="32"/>
        </w:rPr>
      </w:pPr>
    </w:p>
    <w:p w:rsidR="007028DF" w:rsidRPr="00040A18" w:rsidRDefault="007028DF">
      <w:pPr>
        <w:jc w:val="center"/>
        <w:rPr>
          <w:rFonts w:ascii="Book Antiqua" w:eastAsia="Book Antiqua" w:hAnsi="Book Antiqua" w:cs="Book Antiqua"/>
          <w:b/>
          <w:color w:val="000000" w:themeColor="text1"/>
          <w:sz w:val="32"/>
          <w:szCs w:val="32"/>
        </w:rPr>
      </w:pPr>
    </w:p>
    <w:p w:rsidR="007028DF" w:rsidRPr="00040A18" w:rsidRDefault="007028DF">
      <w:pPr>
        <w:jc w:val="center"/>
        <w:rPr>
          <w:rFonts w:ascii="Book Antiqua" w:eastAsia="Book Antiqua" w:hAnsi="Book Antiqua" w:cs="Book Antiqua"/>
          <w:b/>
          <w:color w:val="000000" w:themeColor="text1"/>
          <w:sz w:val="32"/>
          <w:szCs w:val="32"/>
        </w:rPr>
      </w:pPr>
    </w:p>
    <w:p w:rsidR="00C412AA" w:rsidRPr="00040A18" w:rsidRDefault="000A3EAC">
      <w:pPr>
        <w:jc w:val="center"/>
        <w:rPr>
          <w:rFonts w:ascii="Book Antiqua" w:eastAsia="Book Antiqua" w:hAnsi="Book Antiqua" w:cs="Book Antiqua"/>
          <w:b/>
          <w:color w:val="000000" w:themeColor="text1"/>
          <w:sz w:val="32"/>
          <w:szCs w:val="32"/>
        </w:rPr>
      </w:pPr>
      <w:r w:rsidRPr="00040A18">
        <w:rPr>
          <w:rFonts w:ascii="Book Antiqua" w:eastAsia="Book Antiqua" w:hAnsi="Book Antiqua" w:cs="Book Antiqua"/>
          <w:b/>
          <w:color w:val="000000" w:themeColor="text1"/>
          <w:sz w:val="32"/>
          <w:szCs w:val="32"/>
        </w:rPr>
        <w:t>Republika e Kosovës</w:t>
      </w:r>
    </w:p>
    <w:p w:rsidR="00C412AA" w:rsidRPr="00040A18" w:rsidRDefault="000A3EAC">
      <w:pPr>
        <w:jc w:val="center"/>
        <w:rPr>
          <w:rFonts w:ascii="Book Antiqua" w:eastAsia="Book Antiqua" w:hAnsi="Book Antiqua" w:cs="Book Antiqua"/>
          <w:b/>
          <w:color w:val="000000" w:themeColor="text1"/>
          <w:sz w:val="26"/>
          <w:szCs w:val="26"/>
        </w:rPr>
      </w:pPr>
      <w:r w:rsidRPr="00040A18">
        <w:rPr>
          <w:rFonts w:ascii="Book Antiqua" w:eastAsia="Book Antiqua" w:hAnsi="Book Antiqua" w:cs="Book Antiqua"/>
          <w:b/>
          <w:color w:val="000000" w:themeColor="text1"/>
          <w:sz w:val="26"/>
          <w:szCs w:val="26"/>
        </w:rPr>
        <w:t>Republika Kosova - Republic of Kosovo</w:t>
      </w:r>
    </w:p>
    <w:p w:rsidR="00C412AA" w:rsidRPr="00040A18" w:rsidRDefault="000A3EAC">
      <w:pPr>
        <w:jc w:val="center"/>
        <w:rPr>
          <w:rFonts w:ascii="Book Antiqua" w:eastAsia="Book Antiqua" w:hAnsi="Book Antiqua" w:cs="Book Antiqua"/>
          <w:b/>
          <w:i/>
          <w:color w:val="000000" w:themeColor="text1"/>
        </w:rPr>
      </w:pPr>
      <w:r w:rsidRPr="00040A18">
        <w:rPr>
          <w:rFonts w:ascii="Book Antiqua" w:eastAsia="Book Antiqua" w:hAnsi="Book Antiqua" w:cs="Book Antiqua"/>
          <w:b/>
          <w:i/>
          <w:color w:val="000000" w:themeColor="text1"/>
        </w:rPr>
        <w:t>Qeveria – Vlada - Government</w:t>
      </w:r>
    </w:p>
    <w:p w:rsidR="00C412AA" w:rsidRPr="00040A18" w:rsidRDefault="00C412AA">
      <w:pPr>
        <w:pStyle w:val="Title"/>
        <w:rPr>
          <w:rFonts w:ascii="Book Antiqua" w:eastAsia="Book Antiqua" w:hAnsi="Book Antiqua" w:cs="Book Antiqua"/>
          <w:b w:val="0"/>
          <w:color w:val="000000" w:themeColor="text1"/>
          <w:sz w:val="16"/>
          <w:szCs w:val="16"/>
        </w:rPr>
      </w:pPr>
    </w:p>
    <w:p w:rsidR="00C412AA" w:rsidRPr="00040A18" w:rsidRDefault="000A3EAC">
      <w:pPr>
        <w:pBdr>
          <w:top w:val="nil"/>
          <w:left w:val="nil"/>
          <w:bottom w:val="nil"/>
          <w:right w:val="nil"/>
          <w:between w:val="nil"/>
        </w:pBdr>
        <w:jc w:val="center"/>
        <w:rPr>
          <w:rFonts w:ascii="Book Antiqua" w:eastAsia="Book Antiqua" w:hAnsi="Book Antiqua" w:cs="Book Antiqua"/>
          <w:b/>
          <w:i/>
          <w:color w:val="000000" w:themeColor="text1"/>
        </w:rPr>
      </w:pPr>
      <w:r w:rsidRPr="00040A18">
        <w:rPr>
          <w:rFonts w:ascii="Book Antiqua" w:eastAsia="Book Antiqua" w:hAnsi="Book Antiqua" w:cs="Book Antiqua"/>
          <w:b/>
          <w:i/>
          <w:color w:val="000000" w:themeColor="text1"/>
        </w:rPr>
        <w:t>Ministria e Shëndetësisë – Ministry of Health – Ministarstvo Zdravstva</w:t>
      </w:r>
    </w:p>
    <w:p w:rsidR="00C412AA" w:rsidRPr="00040A18" w:rsidRDefault="00C412AA">
      <w:pPr>
        <w:pBdr>
          <w:top w:val="nil"/>
          <w:left w:val="nil"/>
          <w:bottom w:val="nil"/>
          <w:right w:val="nil"/>
          <w:between w:val="nil"/>
        </w:pBdr>
        <w:jc w:val="center"/>
        <w:rPr>
          <w:rFonts w:ascii="Book Antiqua" w:eastAsia="Book Antiqua" w:hAnsi="Book Antiqua" w:cs="Book Antiqua"/>
          <w:b/>
          <w:i/>
          <w:color w:val="000000" w:themeColor="text1"/>
        </w:rPr>
      </w:pPr>
    </w:p>
    <w:p w:rsidR="00C412AA" w:rsidRPr="00040A18" w:rsidRDefault="00C412AA">
      <w:pPr>
        <w:pBdr>
          <w:top w:val="nil"/>
          <w:left w:val="nil"/>
          <w:bottom w:val="nil"/>
          <w:right w:val="nil"/>
          <w:between w:val="nil"/>
        </w:pBdr>
        <w:jc w:val="center"/>
        <w:rPr>
          <w:rFonts w:ascii="Book Antiqua" w:eastAsia="Book Antiqua" w:hAnsi="Book Antiqua" w:cs="Book Antiqua"/>
          <w:b/>
          <w:i/>
          <w:color w:val="000000" w:themeColor="text1"/>
        </w:rPr>
      </w:pPr>
    </w:p>
    <w:p w:rsidR="00C412AA" w:rsidRPr="00040A18" w:rsidRDefault="00C412AA">
      <w:pPr>
        <w:pBdr>
          <w:top w:val="nil"/>
          <w:left w:val="nil"/>
          <w:bottom w:val="nil"/>
          <w:right w:val="nil"/>
          <w:between w:val="nil"/>
        </w:pBdr>
        <w:jc w:val="center"/>
        <w:rPr>
          <w:rFonts w:ascii="Book Antiqua" w:eastAsia="Book Antiqua" w:hAnsi="Book Antiqua" w:cs="Book Antiqua"/>
          <w:b/>
          <w:i/>
          <w:color w:val="000000" w:themeColor="text1"/>
        </w:rPr>
      </w:pPr>
    </w:p>
    <w:p w:rsidR="00C412AA" w:rsidRPr="00040A18" w:rsidRDefault="00C412AA">
      <w:pPr>
        <w:pBdr>
          <w:top w:val="nil"/>
          <w:left w:val="nil"/>
          <w:bottom w:val="nil"/>
          <w:right w:val="nil"/>
          <w:between w:val="nil"/>
        </w:pBdr>
        <w:jc w:val="center"/>
        <w:rPr>
          <w:rFonts w:ascii="Book Antiqua" w:eastAsia="Book Antiqua" w:hAnsi="Book Antiqua" w:cs="Book Antiqua"/>
          <w:b/>
          <w:i/>
          <w:color w:val="000000" w:themeColor="text1"/>
        </w:rPr>
      </w:pPr>
    </w:p>
    <w:p w:rsidR="00C412AA" w:rsidRPr="00040A18" w:rsidRDefault="00C412AA">
      <w:pPr>
        <w:spacing w:line="276" w:lineRule="auto"/>
        <w:jc w:val="center"/>
        <w:rPr>
          <w:rFonts w:ascii="Book Antiqua" w:eastAsia="Book Antiqua" w:hAnsi="Book Antiqua" w:cs="Book Antiqua"/>
          <w:b/>
          <w:color w:val="000000" w:themeColor="text1"/>
        </w:rPr>
      </w:pPr>
    </w:p>
    <w:p w:rsidR="00C412AA" w:rsidRPr="00040A18" w:rsidRDefault="000A3EAC">
      <w:pPr>
        <w:spacing w:line="276" w:lineRule="auto"/>
        <w:jc w:val="center"/>
        <w:rPr>
          <w:rFonts w:ascii="Book Antiqua" w:eastAsia="Book Antiqua" w:hAnsi="Book Antiqua" w:cs="Book Antiqua"/>
          <w:b/>
          <w:color w:val="000000" w:themeColor="text1"/>
          <w:sz w:val="40"/>
          <w:szCs w:val="40"/>
        </w:rPr>
      </w:pPr>
      <w:r w:rsidRPr="00040A18">
        <w:rPr>
          <w:rFonts w:ascii="Book Antiqua" w:eastAsia="Book Antiqua" w:hAnsi="Book Antiqua" w:cs="Book Antiqua"/>
          <w:b/>
          <w:color w:val="000000" w:themeColor="text1"/>
          <w:sz w:val="40"/>
          <w:szCs w:val="40"/>
        </w:rPr>
        <w:t xml:space="preserve">PLANI I VEPRIMIT PËR FUNKSIONALIZIMIN E FERTILIZIMIT TË ASISTUAR MJEKËSOR, </w:t>
      </w:r>
    </w:p>
    <w:p w:rsidR="00C412AA" w:rsidRPr="00040A18" w:rsidRDefault="000A3EAC">
      <w:pPr>
        <w:spacing w:line="276" w:lineRule="auto"/>
        <w:jc w:val="center"/>
        <w:rPr>
          <w:rFonts w:ascii="Book Antiqua" w:eastAsia="Book Antiqua" w:hAnsi="Book Antiqua" w:cs="Book Antiqua"/>
          <w:b/>
          <w:color w:val="000000" w:themeColor="text1"/>
          <w:sz w:val="40"/>
          <w:szCs w:val="40"/>
        </w:rPr>
      </w:pPr>
      <w:r w:rsidRPr="00040A18">
        <w:rPr>
          <w:rFonts w:ascii="Book Antiqua" w:eastAsia="Book Antiqua" w:hAnsi="Book Antiqua" w:cs="Book Antiqua"/>
          <w:b/>
          <w:color w:val="000000" w:themeColor="text1"/>
          <w:sz w:val="40"/>
          <w:szCs w:val="40"/>
        </w:rPr>
        <w:t>CITOGJENETIKËS DHE AMNIOCENTEZËS 2023-2025</w:t>
      </w: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0A3EAC">
      <w:pPr>
        <w:spacing w:line="276" w:lineRule="auto"/>
        <w:jc w:val="center"/>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br/>
      </w:r>
    </w:p>
    <w:p w:rsidR="00C412AA" w:rsidRPr="00040A18" w:rsidRDefault="00C412AA">
      <w:pPr>
        <w:spacing w:line="276" w:lineRule="auto"/>
        <w:jc w:val="center"/>
        <w:rPr>
          <w:rFonts w:ascii="Book Antiqua" w:eastAsia="Book Antiqua" w:hAnsi="Book Antiqua" w:cs="Book Antiqua"/>
          <w:b/>
          <w:color w:val="000000" w:themeColor="text1"/>
        </w:rPr>
      </w:pPr>
    </w:p>
    <w:p w:rsidR="00C412AA" w:rsidRPr="00040A18" w:rsidRDefault="00C412AA">
      <w:pPr>
        <w:spacing w:line="276" w:lineRule="auto"/>
        <w:jc w:val="center"/>
        <w:rPr>
          <w:rFonts w:ascii="Book Antiqua" w:eastAsia="Book Antiqua" w:hAnsi="Book Antiqua" w:cs="Book Antiqua"/>
          <w:b/>
          <w:color w:val="000000" w:themeColor="text1"/>
        </w:rPr>
      </w:pPr>
    </w:p>
    <w:p w:rsidR="00C412AA" w:rsidRPr="00040A18" w:rsidRDefault="000A3EAC">
      <w:pPr>
        <w:spacing w:line="276" w:lineRule="auto"/>
        <w:jc w:val="center"/>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br/>
      </w:r>
    </w:p>
    <w:p w:rsidR="00C412AA" w:rsidRPr="00040A18" w:rsidRDefault="00C412AA">
      <w:pPr>
        <w:spacing w:line="276" w:lineRule="auto"/>
        <w:jc w:val="center"/>
        <w:rPr>
          <w:rFonts w:ascii="Book Antiqua" w:eastAsia="Book Antiqua" w:hAnsi="Book Antiqua" w:cs="Book Antiqua"/>
          <w:b/>
          <w:color w:val="000000" w:themeColor="text1"/>
        </w:rPr>
      </w:pPr>
    </w:p>
    <w:p w:rsidR="00C412AA" w:rsidRPr="00040A18" w:rsidRDefault="00C412AA">
      <w:pPr>
        <w:spacing w:line="276" w:lineRule="auto"/>
        <w:jc w:val="center"/>
        <w:rPr>
          <w:rFonts w:ascii="Book Antiqua" w:eastAsia="Book Antiqua" w:hAnsi="Book Antiqua" w:cs="Book Antiqua"/>
          <w:b/>
          <w:color w:val="000000" w:themeColor="text1"/>
        </w:rPr>
      </w:pPr>
    </w:p>
    <w:p w:rsidR="00C412AA" w:rsidRPr="00040A18" w:rsidRDefault="00C412AA">
      <w:pPr>
        <w:spacing w:line="276" w:lineRule="auto"/>
        <w:jc w:val="center"/>
        <w:rPr>
          <w:rFonts w:ascii="Book Antiqua" w:eastAsia="Book Antiqua" w:hAnsi="Book Antiqua" w:cs="Book Antiqua"/>
          <w:b/>
          <w:color w:val="000000" w:themeColor="text1"/>
        </w:rPr>
      </w:pPr>
    </w:p>
    <w:p w:rsidR="00C412AA" w:rsidRPr="00040A18" w:rsidRDefault="00C412AA">
      <w:pPr>
        <w:spacing w:line="276" w:lineRule="auto"/>
        <w:jc w:val="center"/>
        <w:rPr>
          <w:rFonts w:ascii="Book Antiqua" w:eastAsia="Book Antiqua" w:hAnsi="Book Antiqua" w:cs="Book Antiqua"/>
          <w:b/>
          <w:color w:val="000000" w:themeColor="text1"/>
        </w:rPr>
      </w:pPr>
    </w:p>
    <w:p w:rsidR="00C412AA" w:rsidRPr="00040A18" w:rsidRDefault="00C412AA">
      <w:pPr>
        <w:spacing w:line="276" w:lineRule="auto"/>
        <w:jc w:val="center"/>
        <w:rPr>
          <w:rFonts w:ascii="Book Antiqua" w:eastAsia="Book Antiqua" w:hAnsi="Book Antiqua" w:cs="Book Antiqua"/>
          <w:b/>
          <w:color w:val="000000" w:themeColor="text1"/>
        </w:rPr>
      </w:pPr>
    </w:p>
    <w:p w:rsidR="00C412AA" w:rsidRPr="00040A18" w:rsidRDefault="00C412AA">
      <w:pPr>
        <w:spacing w:line="276" w:lineRule="auto"/>
        <w:jc w:val="center"/>
        <w:rPr>
          <w:rFonts w:ascii="Book Antiqua" w:eastAsia="Book Antiqua" w:hAnsi="Book Antiqua" w:cs="Book Antiqua"/>
          <w:b/>
          <w:color w:val="000000" w:themeColor="text1"/>
        </w:rPr>
      </w:pPr>
    </w:p>
    <w:p w:rsidR="00C412AA" w:rsidRPr="00040A18" w:rsidRDefault="000A3EAC">
      <w:pPr>
        <w:spacing w:line="276" w:lineRule="auto"/>
        <w:jc w:val="center"/>
        <w:rPr>
          <w:rFonts w:ascii="Book Antiqua" w:eastAsia="Book Antiqua" w:hAnsi="Book Antiqua" w:cs="Book Antiqua"/>
          <w:b/>
          <w:i/>
          <w:color w:val="000000" w:themeColor="text1"/>
        </w:rPr>
      </w:pPr>
      <w:r w:rsidRPr="00040A18">
        <w:rPr>
          <w:rFonts w:ascii="Book Antiqua" w:eastAsia="Book Antiqua" w:hAnsi="Book Antiqua" w:cs="Book Antiqua"/>
          <w:b/>
          <w:color w:val="000000" w:themeColor="text1"/>
        </w:rPr>
        <w:br/>
      </w:r>
      <w:r w:rsidRPr="00040A18">
        <w:rPr>
          <w:rFonts w:ascii="Book Antiqua" w:eastAsia="Book Antiqua" w:hAnsi="Book Antiqua" w:cs="Book Antiqua"/>
          <w:b/>
          <w:i/>
          <w:color w:val="000000" w:themeColor="text1"/>
        </w:rPr>
        <w:t>Prishtinë, 2022</w:t>
      </w:r>
    </w:p>
    <w:p w:rsidR="000825B4" w:rsidRPr="00040A18" w:rsidRDefault="000825B4" w:rsidP="000825B4">
      <w:pPr>
        <w:spacing w:line="276" w:lineRule="auto"/>
        <w:rPr>
          <w:rFonts w:ascii="Book Antiqua" w:eastAsia="Book Antiqua" w:hAnsi="Book Antiqua" w:cs="Book Antiqua"/>
          <w:b/>
          <w:i/>
          <w:color w:val="000000" w:themeColor="text1"/>
        </w:rPr>
      </w:pPr>
    </w:p>
    <w:p w:rsidR="00C412AA" w:rsidRPr="00040A18" w:rsidRDefault="000A3EAC">
      <w:pPr>
        <w:spacing w:after="200" w:line="276" w:lineRule="auto"/>
        <w:rPr>
          <w:rFonts w:ascii="Book Antiqua" w:eastAsia="Book Antiqua" w:hAnsi="Book Antiqua" w:cs="Book Antiqua"/>
          <w:b/>
          <w:color w:val="000000" w:themeColor="text1"/>
        </w:rPr>
      </w:pPr>
      <w:r w:rsidRPr="00040A18">
        <w:rPr>
          <w:color w:val="000000" w:themeColor="text1"/>
        </w:rPr>
        <w:br w:type="page"/>
      </w:r>
      <w:r w:rsidRPr="00040A18">
        <w:rPr>
          <w:rFonts w:ascii="Book Antiqua" w:eastAsia="Book Antiqua" w:hAnsi="Book Antiqua" w:cs="Book Antiqua"/>
          <w:b/>
          <w:color w:val="000000" w:themeColor="text1"/>
        </w:rPr>
        <w:lastRenderedPageBreak/>
        <w:t>PËRMBAJTJA</w:t>
      </w:r>
    </w:p>
    <w:p w:rsidR="00C412AA" w:rsidRPr="00040A18" w:rsidRDefault="00C412AA">
      <w:pPr>
        <w:spacing w:line="480" w:lineRule="auto"/>
        <w:rPr>
          <w:rFonts w:ascii="Book Antiqua" w:eastAsia="Book Antiqua" w:hAnsi="Book Antiqua" w:cs="Book Antiqua"/>
          <w:b/>
          <w:color w:val="000000" w:themeColor="text1"/>
          <w:sz w:val="22"/>
          <w:szCs w:val="22"/>
        </w:rPr>
      </w:pPr>
    </w:p>
    <w:p w:rsidR="00C412AA" w:rsidRPr="00040A18" w:rsidRDefault="000A3EAC">
      <w:pPr>
        <w:spacing w:line="480" w:lineRule="auto"/>
        <w:rPr>
          <w:rFonts w:ascii="Book Antiqua" w:eastAsia="Book Antiqua" w:hAnsi="Book Antiqua" w:cs="Book Antiqua"/>
          <w:b/>
          <w:color w:val="000000" w:themeColor="text1"/>
          <w:sz w:val="22"/>
          <w:szCs w:val="22"/>
        </w:rPr>
      </w:pPr>
      <w:bookmarkStart w:id="1" w:name="_gjdgxs" w:colFirst="0" w:colLast="0"/>
      <w:bookmarkEnd w:id="1"/>
      <w:r w:rsidRPr="00040A18">
        <w:rPr>
          <w:rFonts w:ascii="Book Antiqua" w:eastAsia="Book Antiqua" w:hAnsi="Book Antiqua" w:cs="Book Antiqua"/>
          <w:b/>
          <w:color w:val="000000" w:themeColor="text1"/>
          <w:sz w:val="22"/>
          <w:szCs w:val="22"/>
        </w:rPr>
        <w:t xml:space="preserve">Shkurtesat </w:t>
      </w:r>
    </w:p>
    <w:p w:rsidR="00C412AA" w:rsidRPr="00040A18" w:rsidRDefault="00C412AA">
      <w:pPr>
        <w:spacing w:line="480" w:lineRule="auto"/>
        <w:rPr>
          <w:rFonts w:ascii="Book Antiqua" w:eastAsia="Book Antiqua" w:hAnsi="Book Antiqua" w:cs="Book Antiqua"/>
          <w:b/>
          <w:color w:val="000000" w:themeColor="text1"/>
          <w:sz w:val="22"/>
          <w:szCs w:val="22"/>
        </w:rPr>
      </w:pPr>
    </w:p>
    <w:p w:rsidR="00C412AA" w:rsidRPr="00040A18" w:rsidRDefault="000A3EAC">
      <w:pPr>
        <w:numPr>
          <w:ilvl w:val="0"/>
          <w:numId w:val="14"/>
        </w:numPr>
        <w:pBdr>
          <w:top w:val="nil"/>
          <w:left w:val="nil"/>
          <w:bottom w:val="nil"/>
          <w:right w:val="nil"/>
          <w:between w:val="nil"/>
        </w:pBdr>
        <w:spacing w:line="480"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Përmbledhje ekzekutive…………………………………………………………………3</w:t>
      </w:r>
    </w:p>
    <w:p w:rsidR="00C412AA" w:rsidRPr="00040A18" w:rsidRDefault="000A3EAC">
      <w:pPr>
        <w:numPr>
          <w:ilvl w:val="0"/>
          <w:numId w:val="14"/>
        </w:numPr>
        <w:pBdr>
          <w:top w:val="nil"/>
          <w:left w:val="nil"/>
          <w:bottom w:val="nil"/>
          <w:right w:val="nil"/>
          <w:between w:val="nil"/>
        </w:pBdr>
        <w:spacing w:line="480"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Hyrje…………………………………………………………………………………….…5</w:t>
      </w:r>
    </w:p>
    <w:p w:rsidR="00C412AA" w:rsidRPr="00040A18" w:rsidRDefault="000A3EAC">
      <w:pPr>
        <w:numPr>
          <w:ilvl w:val="0"/>
          <w:numId w:val="14"/>
        </w:numPr>
        <w:pBdr>
          <w:top w:val="nil"/>
          <w:left w:val="nil"/>
          <w:bottom w:val="nil"/>
          <w:right w:val="nil"/>
          <w:between w:val="nil"/>
        </w:pBdr>
        <w:spacing w:line="480"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Metodologjia………………………………………………………………………….......12</w:t>
      </w:r>
    </w:p>
    <w:p w:rsidR="00C412AA" w:rsidRPr="00040A18" w:rsidRDefault="000A3EAC">
      <w:pPr>
        <w:numPr>
          <w:ilvl w:val="0"/>
          <w:numId w:val="14"/>
        </w:numPr>
        <w:pBdr>
          <w:top w:val="nil"/>
          <w:left w:val="nil"/>
          <w:bottom w:val="nil"/>
          <w:right w:val="nil"/>
          <w:between w:val="nil"/>
        </w:pBdr>
        <w:spacing w:line="480"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Sfondi…………………………………………………………………………...................13</w:t>
      </w:r>
    </w:p>
    <w:p w:rsidR="00C412AA" w:rsidRPr="00040A18" w:rsidRDefault="000A3EAC">
      <w:pPr>
        <w:spacing w:line="480" w:lineRule="auto"/>
        <w:ind w:left="360"/>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5.   Objektivat………………………………………………………………………………….21</w:t>
      </w:r>
    </w:p>
    <w:p w:rsidR="00C412AA" w:rsidRPr="00040A18" w:rsidRDefault="000A3EAC">
      <w:pPr>
        <w:spacing w:line="480" w:lineRule="auto"/>
        <w:ind w:left="360"/>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6.  Aranzhimet e zbatimit, monitorimit dhe raportimit………………………………….22</w:t>
      </w:r>
    </w:p>
    <w:p w:rsidR="00C412AA" w:rsidRPr="00040A18" w:rsidRDefault="000A3EAC">
      <w:pPr>
        <w:spacing w:line="480" w:lineRule="auto"/>
        <w:ind w:left="360"/>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7.  Ndikimi buxhetor dhe zbatimi i Planit t</w:t>
      </w:r>
      <w:r w:rsidRPr="00040A18">
        <w:rPr>
          <w:rFonts w:ascii="Calibri" w:eastAsia="Calibri" w:hAnsi="Calibri" w:cs="Calibri"/>
          <w:color w:val="000000" w:themeColor="text1"/>
          <w:sz w:val="22"/>
          <w:szCs w:val="22"/>
        </w:rPr>
        <w:t>ë veprimit</w:t>
      </w:r>
      <w:r w:rsidRPr="00040A18">
        <w:rPr>
          <w:rFonts w:ascii="Book Antiqua" w:eastAsia="Book Antiqua" w:hAnsi="Book Antiqua" w:cs="Book Antiqua"/>
          <w:color w:val="000000" w:themeColor="text1"/>
          <w:sz w:val="22"/>
          <w:szCs w:val="22"/>
        </w:rPr>
        <w:t>……………………………. ….….22</w:t>
      </w:r>
    </w:p>
    <w:p w:rsidR="00C412AA" w:rsidRPr="00040A18" w:rsidRDefault="000A3EAC">
      <w:pPr>
        <w:spacing w:line="480" w:lineRule="auto"/>
        <w:ind w:left="360"/>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8. Shtojca 1- Plani i veprimit………………………………………………………….…….23</w:t>
      </w: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0A3EAC">
      <w:pPr>
        <w:spacing w:line="276" w:lineRule="auto"/>
        <w:rPr>
          <w:rFonts w:ascii="Book Antiqua" w:eastAsia="Book Antiqua" w:hAnsi="Book Antiqua" w:cs="Book Antiqua"/>
          <w:b/>
          <w:color w:val="000000" w:themeColor="text1"/>
          <w:sz w:val="22"/>
          <w:szCs w:val="22"/>
        </w:rPr>
      </w:pPr>
      <w:r w:rsidRPr="00040A18">
        <w:rPr>
          <w:rFonts w:ascii="Book Antiqua" w:eastAsia="Book Antiqua" w:hAnsi="Book Antiqua" w:cs="Book Antiqua"/>
          <w:b/>
          <w:color w:val="000000" w:themeColor="text1"/>
          <w:sz w:val="22"/>
          <w:szCs w:val="22"/>
        </w:rPr>
        <w:t>Shkurtesat</w:t>
      </w:r>
    </w:p>
    <w:p w:rsidR="00C412AA" w:rsidRPr="00040A18" w:rsidRDefault="00C412AA">
      <w:pPr>
        <w:spacing w:line="276" w:lineRule="auto"/>
        <w:rPr>
          <w:rFonts w:ascii="Book Antiqua" w:eastAsia="Book Antiqua" w:hAnsi="Book Antiqua" w:cs="Book Antiqua"/>
          <w:b/>
          <w:color w:val="000000" w:themeColor="text1"/>
          <w:sz w:val="22"/>
          <w:szCs w:val="22"/>
        </w:rPr>
      </w:pP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ESHRE</w:t>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t>European Society of Human Reproduction and Embryology</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FAM</w:t>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t>Fertilizim/frytnim i Asistuar Mjekësor</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IKShPK</w:t>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t>Instituti Kombëtar i Shëndetësisë Publike të Kosovës</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IPSH</w:t>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t xml:space="preserve">Institucion privatshëndetësor </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IVF</w:t>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t>In vitro fertilizimi</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KFAM</w:t>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t>Komisioni p</w:t>
      </w:r>
      <w:r w:rsidRPr="00040A18">
        <w:rPr>
          <w:rFonts w:ascii="Book Antiqua" w:eastAsia="Book Antiqua" w:hAnsi="Book Antiqua" w:cs="Book Antiqua"/>
          <w:color w:val="000000" w:themeColor="text1"/>
        </w:rPr>
        <w:t>ër fertilizim të asistuar mjekësor</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KOGJ</w:t>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t>Klinika Obstetrike Gjinekologjike</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sz w:val="22"/>
          <w:szCs w:val="22"/>
        </w:rPr>
        <w:t>MSH</w:t>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r>
      <w:r w:rsidRPr="00040A18">
        <w:rPr>
          <w:rFonts w:ascii="Book Antiqua" w:eastAsia="Book Antiqua" w:hAnsi="Book Antiqua" w:cs="Book Antiqua"/>
          <w:color w:val="000000" w:themeColor="text1"/>
          <w:sz w:val="22"/>
          <w:szCs w:val="22"/>
        </w:rPr>
        <w:tab/>
        <w:t>Ministria e Shëndetësi</w:t>
      </w:r>
      <w:r w:rsidRPr="00040A18">
        <w:rPr>
          <w:rFonts w:ascii="Book Antiqua" w:eastAsia="Book Antiqua" w:hAnsi="Book Antiqua" w:cs="Book Antiqua"/>
          <w:color w:val="000000" w:themeColor="text1"/>
        </w:rPr>
        <w:t>së</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OBSh</w:t>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t>Organizata Botërore e Shëndetësisë</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PGD</w:t>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t>Diagnoza gjenetike pre-implantuese</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PGS</w:t>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t>Depistimi gjenetik pre-implantues</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PGT</w:t>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t>Testimi gjenetik pre-implantuese</w:t>
      </w: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QKUK</w:t>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r>
      <w:r w:rsidRPr="00040A18">
        <w:rPr>
          <w:rFonts w:ascii="Book Antiqua" w:eastAsia="Book Antiqua" w:hAnsi="Book Antiqua" w:cs="Book Antiqua"/>
          <w:color w:val="000000" w:themeColor="text1"/>
        </w:rPr>
        <w:tab/>
        <w:t>Qendra Klinike Universitare e Kosovës</w:t>
      </w:r>
    </w:p>
    <w:p w:rsidR="00C412AA" w:rsidRPr="00040A18" w:rsidRDefault="00C412AA">
      <w:pPr>
        <w:spacing w:line="276" w:lineRule="auto"/>
        <w:rPr>
          <w:rFonts w:ascii="Book Antiqua" w:eastAsia="Book Antiqua" w:hAnsi="Book Antiqua" w:cs="Book Antiqua"/>
          <w:color w:val="000000" w:themeColor="text1"/>
        </w:rPr>
      </w:pPr>
    </w:p>
    <w:p w:rsidR="00C412AA" w:rsidRPr="00040A18" w:rsidRDefault="00C412AA">
      <w:pPr>
        <w:spacing w:line="276" w:lineRule="auto"/>
        <w:rPr>
          <w:rFonts w:ascii="Book Antiqua" w:eastAsia="Book Antiqua" w:hAnsi="Book Antiqua" w:cs="Book Antiqua"/>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after="200"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0825B4" w:rsidRPr="00040A18" w:rsidRDefault="000825B4">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0A3EAC">
      <w:pPr>
        <w:numPr>
          <w:ilvl w:val="0"/>
          <w:numId w:val="1"/>
        </w:numPr>
        <w:pBdr>
          <w:top w:val="nil"/>
          <w:left w:val="nil"/>
          <w:bottom w:val="nil"/>
          <w:right w:val="nil"/>
          <w:between w:val="nil"/>
        </w:pBdr>
        <w:spacing w:line="276" w:lineRule="auto"/>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PËRMBLEDHJE EKZEKUTIVE</w:t>
      </w:r>
    </w:p>
    <w:p w:rsidR="00C412AA" w:rsidRPr="00040A18" w:rsidRDefault="00C412AA">
      <w:pPr>
        <w:pBdr>
          <w:top w:val="nil"/>
          <w:left w:val="nil"/>
          <w:bottom w:val="nil"/>
          <w:right w:val="nil"/>
          <w:between w:val="nil"/>
        </w:pBdr>
        <w:spacing w:line="276" w:lineRule="auto"/>
        <w:ind w:left="720"/>
        <w:rPr>
          <w:rFonts w:ascii="Book Antiqua" w:eastAsia="Book Antiqua" w:hAnsi="Book Antiqua" w:cs="Book Antiqua"/>
          <w:b/>
          <w:color w:val="000000" w:themeColor="text1"/>
        </w:rPr>
      </w:pPr>
    </w:p>
    <w:p w:rsidR="00C412AA" w:rsidRPr="00040A18" w:rsidRDefault="00C412AA">
      <w:pPr>
        <w:pBdr>
          <w:top w:val="nil"/>
          <w:left w:val="nil"/>
          <w:bottom w:val="nil"/>
          <w:right w:val="nil"/>
          <w:between w:val="nil"/>
        </w:pBdr>
        <w:spacing w:line="276" w:lineRule="auto"/>
        <w:rPr>
          <w:b/>
          <w:color w:val="000000" w:themeColor="text1"/>
        </w:rPr>
      </w:pPr>
    </w:p>
    <w:p w:rsidR="00C412AA" w:rsidRPr="00040A18" w:rsidRDefault="000A3EAC">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Plani i veprimit për Fertilizim të Asistuar Mjekësor (FAM) dhe Citogjenetikë ka për qëllim përmirësimin e kualitetit të shërbimit të FAM në Kosovë si dhe krijimin e shërbimit të diagnostikës Citogjenetike në të kuadër të së cilës do të ofrohet edhe amniocenteza.</w:t>
      </w:r>
    </w:p>
    <w:p w:rsidR="00C412AA" w:rsidRPr="00040A18" w:rsidRDefault="00C412AA">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p>
    <w:p w:rsidR="00C412AA" w:rsidRPr="00040A18" w:rsidRDefault="000A3EAC">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Sipas Organizatës Botërore të Shëndetësisë infertiliteti është i klasifikuar si sëmundje dhe si e tillë është përgjegjësi e çdo shteti të adresohet ky problem si të gjitha sëmundjet tjera.</w:t>
      </w:r>
    </w:p>
    <w:p w:rsidR="00C412AA" w:rsidRPr="00040A18" w:rsidRDefault="00C412AA">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p>
    <w:p w:rsidR="00C412AA" w:rsidRPr="00040A18" w:rsidRDefault="000A3EAC">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Me këtë adresohet mbi 15% të popullsisë të moshës riprodhuese të Kosovës të cilët kanë probleme me infertilitet, si dhe mundësohet diagnostikimi i hershëm sëmundjeve të trashëgueshme.</w:t>
      </w:r>
    </w:p>
    <w:p w:rsidR="00C412AA" w:rsidRPr="00040A18" w:rsidRDefault="00C412AA">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p>
    <w:p w:rsidR="00C412AA" w:rsidRPr="00040A18" w:rsidRDefault="000A3EAC">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Ndikimi pozitiv i kësaj iniciative për popullsinë e Kosovës është dukshëm më i lartë se sa kostoja e saj.</w:t>
      </w:r>
    </w:p>
    <w:p w:rsidR="00C412AA" w:rsidRPr="00040A18" w:rsidRDefault="00C412AA">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p>
    <w:p w:rsidR="00C412AA" w:rsidRPr="00040A18" w:rsidRDefault="000A3EAC">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Objektivat e këtij plani janë funksionalizimi i shërbimit të FAM dhe Citogjenetikës në Klinikën Obstetrike Gjinekologjike në Qendrën Klinike Universitare të Kosovës.</w:t>
      </w:r>
    </w:p>
    <w:p w:rsidR="00C412AA" w:rsidRPr="00040A18" w:rsidRDefault="00C412AA">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p>
    <w:p w:rsidR="00C412AA" w:rsidRPr="00040A18" w:rsidRDefault="000A3EAC">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Edhe pse shërbimi i infertilitetit në KOGJ ekziston prej vitit 1980, kurse IVF në botë aplikohet prej vitit 1978, deri më sot ky shërbim nuk është ofruar asnjëherë në sektorin publik dhe pacientët janë detyruar në vazhdimësi të kërkojnë ndihmë në klinikat private në Kosovë dhe jashtë vendit. </w:t>
      </w:r>
    </w:p>
    <w:p w:rsidR="00C412AA" w:rsidRPr="00040A18" w:rsidRDefault="00C412AA">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p>
    <w:p w:rsidR="00C412AA" w:rsidRPr="00040A18" w:rsidRDefault="000A3EAC">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Në KOGJ laboratorin e citogjenetikes prej vitit 1985 ёshtё ofruar shёrbimi i diagnostikёs gjenetike postnatale /kariotipi, testi pёr tё zbuluar praninë e anomalive kromozomale.  Por shërbimet e diagnostikës citogjenetike paranatale (amniocentezë dhe PGT) nuk janë ofruar asnjëherë në vendin tone dhe mostrat janë dërguar gjithmonë për analiza jashtë vendit. E gjithë kjo, ka qenë barrë financiare për qytetarët, të cilën ky plan tenton ta zvogëloj.</w:t>
      </w:r>
    </w:p>
    <w:p w:rsidR="00C412AA" w:rsidRPr="00040A18" w:rsidRDefault="00C412AA">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p>
    <w:p w:rsidR="00C412AA" w:rsidRPr="00040A18" w:rsidRDefault="000A3EAC">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Me rritjen e sëmundjeve malinje, sidomos të gjeneratat e reja, në bashkëpunim me Institutin e Onkologjisë me zbatimin e këtij plani për herë të parë në KOGJ do të ofrohet ruajtja e qelizave gjinore te pacientët para trajtimit onkologjik.</w:t>
      </w:r>
    </w:p>
    <w:p w:rsidR="00C412AA" w:rsidRPr="00040A18" w:rsidRDefault="00C412AA">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p>
    <w:p w:rsidR="00C412AA" w:rsidRPr="00040A18" w:rsidRDefault="00C412AA">
      <w:pPr>
        <w:pBdr>
          <w:top w:val="nil"/>
          <w:left w:val="nil"/>
          <w:bottom w:val="nil"/>
          <w:right w:val="nil"/>
          <w:between w:val="nil"/>
        </w:pBd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rPr>
          <w:rFonts w:ascii="Book Antiqua" w:eastAsia="Book Antiqua" w:hAnsi="Book Antiqua" w:cs="Book Antiqua"/>
          <w:color w:val="000000" w:themeColor="text1"/>
          <w:sz w:val="22"/>
          <w:szCs w:val="22"/>
        </w:rPr>
      </w:pPr>
    </w:p>
    <w:p w:rsidR="00C412AA" w:rsidRPr="00040A18" w:rsidRDefault="00C412AA">
      <w:pPr>
        <w:spacing w:line="276" w:lineRule="auto"/>
        <w:rPr>
          <w:rFonts w:ascii="Book Antiqua" w:eastAsia="Book Antiqua" w:hAnsi="Book Antiqua" w:cs="Book Antiqua"/>
          <w:color w:val="000000" w:themeColor="text1"/>
        </w:rPr>
      </w:pPr>
    </w:p>
    <w:p w:rsidR="00C412AA" w:rsidRPr="00040A18" w:rsidRDefault="00C412AA">
      <w:pPr>
        <w:spacing w:line="276" w:lineRule="auto"/>
        <w:rPr>
          <w:rFonts w:ascii="Book Antiqua" w:eastAsia="Book Antiqua" w:hAnsi="Book Antiqua" w:cs="Book Antiqua"/>
          <w:color w:val="000000" w:themeColor="text1"/>
        </w:rPr>
      </w:pPr>
    </w:p>
    <w:p w:rsidR="00C412AA" w:rsidRPr="00040A18" w:rsidRDefault="00C412AA">
      <w:pPr>
        <w:spacing w:line="276" w:lineRule="auto"/>
        <w:rPr>
          <w:rFonts w:ascii="Book Antiqua" w:eastAsia="Book Antiqua" w:hAnsi="Book Antiqua" w:cs="Book Antiqua"/>
          <w:color w:val="000000" w:themeColor="text1"/>
        </w:rPr>
      </w:pPr>
    </w:p>
    <w:p w:rsidR="00C412AA" w:rsidRPr="00040A18" w:rsidRDefault="00C412AA">
      <w:pPr>
        <w:spacing w:line="276" w:lineRule="auto"/>
        <w:rPr>
          <w:rFonts w:ascii="Book Antiqua" w:eastAsia="Book Antiqua" w:hAnsi="Book Antiqua" w:cs="Book Antiqua"/>
          <w:color w:val="000000" w:themeColor="text1"/>
        </w:rPr>
      </w:pPr>
    </w:p>
    <w:p w:rsidR="00C412AA" w:rsidRPr="00040A18" w:rsidRDefault="00C412AA">
      <w:pPr>
        <w:spacing w:line="276" w:lineRule="auto"/>
        <w:rPr>
          <w:rFonts w:ascii="Book Antiqua" w:eastAsia="Book Antiqua" w:hAnsi="Book Antiqua" w:cs="Book Antiqua"/>
          <w:color w:val="000000" w:themeColor="text1"/>
        </w:rPr>
      </w:pPr>
    </w:p>
    <w:p w:rsidR="00C412AA" w:rsidRPr="00040A18" w:rsidRDefault="00C412AA">
      <w:pPr>
        <w:spacing w:line="276" w:lineRule="auto"/>
        <w:rPr>
          <w:rFonts w:ascii="Book Antiqua" w:eastAsia="Book Antiqua" w:hAnsi="Book Antiqua" w:cs="Book Antiqua"/>
          <w:color w:val="000000" w:themeColor="text1"/>
        </w:rPr>
      </w:pPr>
    </w:p>
    <w:p w:rsidR="00C412AA" w:rsidRPr="00040A18" w:rsidRDefault="000A3EAC">
      <w:pPr>
        <w:numPr>
          <w:ilvl w:val="0"/>
          <w:numId w:val="1"/>
        </w:numPr>
        <w:pBdr>
          <w:top w:val="nil"/>
          <w:left w:val="nil"/>
          <w:bottom w:val="nil"/>
          <w:right w:val="nil"/>
          <w:between w:val="nil"/>
        </w:pBdr>
        <w:spacing w:line="276" w:lineRule="auto"/>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 xml:space="preserve">HYRJE </w:t>
      </w:r>
    </w:p>
    <w:p w:rsidR="00C412AA" w:rsidRPr="00040A18" w:rsidRDefault="00C412AA">
      <w:pPr>
        <w:spacing w:line="276" w:lineRule="auto"/>
        <w:jc w:val="both"/>
        <w:rPr>
          <w:rFonts w:ascii="Book Antiqua" w:eastAsia="Book Antiqua" w:hAnsi="Book Antiqua" w:cs="Book Antiqua"/>
          <w:color w:val="000000" w:themeColor="text1"/>
          <w:highlight w:val="white"/>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Fertiliteti definohet si aftësi për koncepcion dhe lindje të pasardhësve. Infertiliteti është gjendje ku mundësia për koncepcion, mbajtje të shtatëzënësisë dhe lindjes është e zvogëluar. Infertiliteti definohet dhe njihet nga Organizata Botërore e Shëndetësisë (OBSh) si gjendje mjekësore e cila karakterizohet nga dështimi për të ngelur shtatëzënë pas 12 muajsh të marrëdhënieve të rregullta seksuale dhe pa hulumtime të mëtejshme apo trajtim, pamundëson personat që të bëhen prindër. </w:t>
      </w:r>
      <w:r w:rsidRPr="00040A18">
        <w:rPr>
          <w:rFonts w:ascii="Book Antiqua" w:eastAsia="Book Antiqua" w:hAnsi="Book Antiqua" w:cs="Book Antiqua"/>
          <w:color w:val="000000" w:themeColor="text1"/>
          <w:sz w:val="22"/>
          <w:szCs w:val="22"/>
          <w:highlight w:val="white"/>
        </w:rPr>
        <w:t xml:space="preserve">Rrjedhimisht OBSh </w:t>
      </w:r>
      <w:r w:rsidRPr="00040A18">
        <w:rPr>
          <w:rFonts w:ascii="Book Antiqua" w:eastAsia="Book Antiqua" w:hAnsi="Book Antiqua" w:cs="Book Antiqua"/>
          <w:color w:val="000000" w:themeColor="text1"/>
          <w:sz w:val="22"/>
          <w:szCs w:val="22"/>
        </w:rPr>
        <w:t>infertilitetin e konsiderohen si sëmundje që kërkon trajtim dhe e paraqet si problem global shëndetësor</w:t>
      </w:r>
      <w:r w:rsidRPr="00040A18">
        <w:rPr>
          <w:rFonts w:ascii="Book Antiqua" w:eastAsia="Book Antiqua" w:hAnsi="Book Antiqua" w:cs="Book Antiqua"/>
          <w:color w:val="000000" w:themeColor="text1"/>
          <w:sz w:val="22"/>
          <w:szCs w:val="22"/>
          <w:vertAlign w:val="superscript"/>
        </w:rPr>
        <w:footnoteReference w:id="1"/>
      </w:r>
      <w:r w:rsidRPr="00040A18">
        <w:rPr>
          <w:rFonts w:ascii="Book Antiqua" w:eastAsia="Book Antiqua" w:hAnsi="Book Antiqua" w:cs="Book Antiqua"/>
          <w:color w:val="000000" w:themeColor="text1"/>
          <w:sz w:val="22"/>
          <w:szCs w:val="22"/>
        </w:rPr>
        <w:t>.</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highlight w:val="white"/>
        </w:rPr>
        <w:t>Prevalenca e infertilitetit te femrat është rreth 13% kurse tek meshkujt 10%</w:t>
      </w:r>
      <w:r w:rsidRPr="00040A18">
        <w:rPr>
          <w:rFonts w:ascii="Book Antiqua" w:eastAsia="Book Antiqua" w:hAnsi="Book Antiqua" w:cs="Book Antiqua"/>
          <w:color w:val="000000" w:themeColor="text1"/>
          <w:sz w:val="22"/>
          <w:szCs w:val="22"/>
          <w:highlight w:val="white"/>
          <w:vertAlign w:val="superscript"/>
        </w:rPr>
        <w:footnoteReference w:id="2"/>
      </w:r>
      <w:r w:rsidRPr="00040A18">
        <w:rPr>
          <w:rFonts w:ascii="Book Antiqua" w:eastAsia="Book Antiqua" w:hAnsi="Book Antiqua" w:cs="Book Antiqua"/>
          <w:color w:val="000000" w:themeColor="text1"/>
          <w:sz w:val="22"/>
          <w:szCs w:val="22"/>
          <w:highlight w:val="white"/>
        </w:rPr>
        <w:t>. Tek femrat është vërejtur që prevalenca e infertilitetit rritet me moshën. Një studim i bërë në këtë aspekt, tregon që 12% e femrave të moshës 32 vjeçare raportojnë infertilitet, kurse në moshën 38 vjeçare kjo shifër arrin në 21%</w:t>
      </w:r>
      <w:r w:rsidRPr="00040A18">
        <w:rPr>
          <w:rFonts w:ascii="Book Antiqua" w:eastAsia="Book Antiqua" w:hAnsi="Book Antiqua" w:cs="Book Antiqua"/>
          <w:color w:val="000000" w:themeColor="text1"/>
          <w:sz w:val="22"/>
          <w:szCs w:val="22"/>
          <w:highlight w:val="white"/>
          <w:vertAlign w:val="superscript"/>
        </w:rPr>
        <w:footnoteReference w:id="3"/>
      </w:r>
      <w:r w:rsidRPr="00040A18">
        <w:rPr>
          <w:rFonts w:ascii="Book Antiqua" w:eastAsia="Book Antiqua" w:hAnsi="Book Antiqua" w:cs="Book Antiqua"/>
          <w:color w:val="000000" w:themeColor="text1"/>
          <w:sz w:val="22"/>
          <w:szCs w:val="22"/>
          <w:highlight w:val="white"/>
        </w:rPr>
        <w:t xml:space="preserve">. Një ndër faktorët vështërsues për trajtimin e infertilitetit është gjendja ekonomike dhe për këtë arsye shumica e vendeve evropiane me politikat e tyre mbështesin trajtimin e infertilitetit. </w:t>
      </w:r>
      <w:r w:rsidRPr="00040A18">
        <w:rPr>
          <w:rFonts w:ascii="Book Antiqua" w:eastAsia="Book Antiqua" w:hAnsi="Book Antiqua" w:cs="Book Antiqua"/>
          <w:color w:val="000000" w:themeColor="text1"/>
          <w:sz w:val="22"/>
          <w:szCs w:val="22"/>
        </w:rPr>
        <w:t>Një nga 4 çiftet në vendet në zhvillim preket nga infertiliteti kurse në nivel botëror sipas organizatës botërore të shëndetësisë (WHO) përqindja e infertilitetit sillet nga 10-15 %. Kjo përqindje ndryshon nga vendi ne vend dhe nga rajoni në rajon. Shkaqet e infertilitetit në shumë literatura ka norma të ndryshme (përqindje) po mund t</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merret parasysh një mesatare me 40% faktorët jan</w:t>
      </w:r>
      <w:r w:rsidRPr="00040A18">
        <w:rPr>
          <w:rFonts w:ascii="Calibri" w:eastAsia="Calibri" w:hAnsi="Calibri" w:cs="Calibri"/>
          <w:color w:val="000000" w:themeColor="text1"/>
          <w:sz w:val="22"/>
          <w:szCs w:val="22"/>
        </w:rPr>
        <w:t>ë të</w:t>
      </w:r>
      <w:r w:rsidRPr="00040A18">
        <w:rPr>
          <w:rFonts w:ascii="Book Antiqua" w:eastAsia="Book Antiqua" w:hAnsi="Book Antiqua" w:cs="Book Antiqua"/>
          <w:color w:val="000000" w:themeColor="text1"/>
          <w:sz w:val="22"/>
          <w:szCs w:val="22"/>
        </w:rPr>
        <w:t xml:space="preserve"> lidhur për gjininë femërore.</w:t>
      </w:r>
    </w:p>
    <w:p w:rsidR="00C412AA" w:rsidRPr="00040A18" w:rsidRDefault="00C412AA">
      <w:pPr>
        <w:pBdr>
          <w:top w:val="nil"/>
          <w:left w:val="nil"/>
          <w:bottom w:val="nil"/>
          <w:right w:val="nil"/>
          <w:between w:val="nil"/>
        </w:pBdr>
        <w:ind w:left="720"/>
        <w:rPr>
          <w:rFonts w:ascii="Book Antiqua" w:eastAsia="Book Antiqua" w:hAnsi="Book Antiqua" w:cs="Book Antiqua"/>
          <w:color w:val="000000" w:themeColor="text1"/>
          <w:sz w:val="22"/>
          <w:szCs w:val="22"/>
        </w:rPr>
      </w:pPr>
    </w:p>
    <w:p w:rsidR="00C412AA" w:rsidRPr="00040A18" w:rsidRDefault="000A3EAC">
      <w:pPr>
        <w:spacing w:after="200"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Poashtu 40% faktorët të lidhur për gjininë mashkullore e këtu është shumë me rendësi të ceket se 50 vitet e fundit ka një rritje të madhe te infertilitetit mashkullor ku vërehet një rënie në cilësinë e spermës dhe pretendohet që në disa vende shkon edhe deri 70 % dhe ky fenomen është një shqetësim global për të ardhmen lidhje me infertilitetin mashkullor.</w:t>
      </w:r>
    </w:p>
    <w:p w:rsidR="00C412AA" w:rsidRPr="00040A18" w:rsidRDefault="000A3EAC">
      <w:pPr>
        <w:spacing w:after="200"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Shkaqet e infertilitetit mashkullor mund të jenë faktorët gjenetik, infeksionet, çrregullimet hormonale, kushtet e jetesës, pozita gjeografike, mirëpo ka arsye të tjera që ndikojnë në këtë rritje të vazhdueshme dhe vëmendje duhet t’i kushtohet disa faktorëve si kequshqyeshmëria, obeziteti, alkooli, duhani substancat narkotike që konsumohen në vazhdimësi me një rritje, etj. </w:t>
      </w:r>
    </w:p>
    <w:p w:rsidR="00C412AA" w:rsidRPr="00040A18" w:rsidRDefault="000A3EAC">
      <w:pPr>
        <w:spacing w:after="200"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Megjithatë 20% të të gjitha shkaqeve janë të pashpjegueshme.</w:t>
      </w: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Vlerësohet se një në gjashtë njerëz në mbarë botën përjetojnë ndonjë formë të infertilitetit gjatë jetës së tyre ripordhuese. Vetëm në shtetet e BE-së, infertiliteti afekton përafërsisht 25 milion </w:t>
      </w:r>
      <w:r w:rsidRPr="00040A18">
        <w:rPr>
          <w:rFonts w:ascii="Book Antiqua" w:eastAsia="Book Antiqua" w:hAnsi="Book Antiqua" w:cs="Book Antiqua"/>
          <w:color w:val="000000" w:themeColor="text1"/>
          <w:sz w:val="22"/>
          <w:szCs w:val="22"/>
        </w:rPr>
        <w:lastRenderedPageBreak/>
        <w:t xml:space="preserve">banorë. Përderisa fertilizimi i asistuar mjekësor (FAM) ofron një gamë të gjërë të teknikave për t’iu asistuar çifteve infertile apo individëve dhe ekzistojnë dallime në aspekt të qasjes në mes të shteteve të ndryshme. </w:t>
      </w:r>
    </w:p>
    <w:p w:rsidR="00C412AA" w:rsidRPr="00040A18" w:rsidRDefault="00C412AA">
      <w:pPr>
        <w:shd w:val="clear" w:color="auto" w:fill="FFFFFF"/>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Termi fertilizim i asistuar mjekësor (FAM) përfshinë në vehte një mori procedurash dhe teknikash të punës me oocite (qelizat gjinore të femrës) dhe spermë (qelizat gjinore të mashkullit) jashtë trupit të njeriut që kanë për qëllim arritjen e fekondimit. </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Qëllimi përfundimtar i teknikave të FAM është shtatëzënësia e suksesshme dhe lindja. Themelet e teknikave të FAM datojnë që nga 1973, por në atë kohë të pa sukseshme</w:t>
      </w:r>
      <w:r w:rsidRPr="00040A18">
        <w:rPr>
          <w:rFonts w:ascii="Book Antiqua" w:eastAsia="Book Antiqua" w:hAnsi="Book Antiqua" w:cs="Book Antiqua"/>
          <w:color w:val="000000" w:themeColor="text1"/>
          <w:sz w:val="22"/>
          <w:szCs w:val="22"/>
          <w:vertAlign w:val="superscript"/>
        </w:rPr>
        <w:footnoteReference w:id="4"/>
      </w:r>
      <w:r w:rsidRPr="00040A18">
        <w:rPr>
          <w:rFonts w:ascii="Book Antiqua" w:eastAsia="Book Antiqua" w:hAnsi="Book Antiqua" w:cs="Book Antiqua"/>
          <w:color w:val="000000" w:themeColor="text1"/>
          <w:sz w:val="22"/>
          <w:szCs w:val="22"/>
        </w:rPr>
        <w:t>. Fertilizimi in vitro (IVF) dhe embriotransferi (ET) në FAM modern paraqesin ndër shtyllat kyçe në trajtimin e infertilitetit. Procedurat e IVF realizohen kur oocitet e aspiruara nga ovaret, në medium laboratorik, fertilizohen dhe më tutje embrioni/et vendosen në mitër.</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pBdr>
          <w:top w:val="nil"/>
          <w:left w:val="nil"/>
          <w:bottom w:val="nil"/>
          <w:right w:val="nil"/>
          <w:between w:val="nil"/>
        </w:pBdr>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Ekzistojnë dy lloje të procedurave: </w:t>
      </w:r>
    </w:p>
    <w:p w:rsidR="00C412AA" w:rsidRPr="00040A18" w:rsidRDefault="00C412AA">
      <w:pPr>
        <w:pBdr>
          <w:top w:val="nil"/>
          <w:left w:val="nil"/>
          <w:bottom w:val="nil"/>
          <w:right w:val="nil"/>
          <w:between w:val="nil"/>
        </w:pBdr>
        <w:jc w:val="both"/>
        <w:rPr>
          <w:rFonts w:ascii="Book Antiqua" w:eastAsia="Book Antiqua" w:hAnsi="Book Antiqua" w:cs="Book Antiqua"/>
          <w:color w:val="000000" w:themeColor="text1"/>
          <w:sz w:val="22"/>
          <w:szCs w:val="22"/>
        </w:rPr>
      </w:pPr>
    </w:p>
    <w:p w:rsidR="00C412AA" w:rsidRPr="00040A18" w:rsidRDefault="000A3EAC">
      <w:pPr>
        <w:numPr>
          <w:ilvl w:val="0"/>
          <w:numId w:val="6"/>
        </w:numPr>
        <w:pBdr>
          <w:top w:val="nil"/>
          <w:left w:val="nil"/>
          <w:bottom w:val="nil"/>
          <w:right w:val="nil"/>
          <w:between w:val="nil"/>
        </w:pBdr>
        <w:spacing w:line="276" w:lineRule="auto"/>
        <w:jc w:val="both"/>
        <w:rPr>
          <w:color w:val="000000" w:themeColor="text1"/>
          <w:sz w:val="22"/>
          <w:szCs w:val="22"/>
        </w:rPr>
      </w:pPr>
      <w:r w:rsidRPr="00040A18">
        <w:rPr>
          <w:rFonts w:ascii="Book Antiqua" w:eastAsia="Book Antiqua" w:hAnsi="Book Antiqua" w:cs="Book Antiqua"/>
          <w:color w:val="000000" w:themeColor="text1"/>
          <w:sz w:val="22"/>
          <w:szCs w:val="22"/>
        </w:rPr>
        <w:t>Fertilizimi i asistuar mjekësor homolog është frytnimi i asistuar mjekësor me ç`rast përdoren qelizat riprodhuese personale të të dy bashkëshortëve;</w:t>
      </w:r>
    </w:p>
    <w:p w:rsidR="00C412AA" w:rsidRPr="00040A18" w:rsidRDefault="000A3EAC">
      <w:pPr>
        <w:numPr>
          <w:ilvl w:val="0"/>
          <w:numId w:val="6"/>
        </w:numPr>
        <w:pBdr>
          <w:top w:val="nil"/>
          <w:left w:val="nil"/>
          <w:bottom w:val="nil"/>
          <w:right w:val="nil"/>
          <w:between w:val="nil"/>
        </w:pBdr>
        <w:spacing w:line="276" w:lineRule="auto"/>
        <w:jc w:val="both"/>
        <w:rPr>
          <w:color w:val="000000" w:themeColor="text1"/>
          <w:sz w:val="22"/>
          <w:szCs w:val="22"/>
        </w:rPr>
      </w:pPr>
      <w:r w:rsidRPr="00040A18">
        <w:rPr>
          <w:rFonts w:ascii="Book Antiqua" w:eastAsia="Book Antiqua" w:hAnsi="Book Antiqua" w:cs="Book Antiqua"/>
          <w:color w:val="000000" w:themeColor="text1"/>
          <w:sz w:val="22"/>
          <w:szCs w:val="22"/>
        </w:rPr>
        <w:t>Fertilizimi i asistuar mjekësor heterolog është frytnimi i asistuar mjekësor me ç`rast nuk përdoren qelizat riprodhuese personale të njërit bashkëshort por përdoren qelizat e dhuruara.</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Fertilizimi in vitro, ka tërhequr vëmendjen e publikut që nga prezantimi i tij i bujshëm në vitin 1978 me lindjen e bebes së parë me IVF në Angli, Louise Brown pas shumë dekadash të kërkimeve shkencore dhe procedurave laboratorike eksperimentale në mjekësinë riprodhuese nga mjeku i njohur Patrick Steptoe dhe biologu/fiziologu Robert Edwards, t</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cilët njihen si pionierët e IVF-së</w:t>
      </w:r>
      <w:r w:rsidRPr="00040A18">
        <w:rPr>
          <w:rFonts w:ascii="Book Antiqua" w:eastAsia="Book Antiqua" w:hAnsi="Book Antiqua" w:cs="Book Antiqua"/>
          <w:color w:val="000000" w:themeColor="text1"/>
          <w:sz w:val="22"/>
          <w:szCs w:val="22"/>
          <w:vertAlign w:val="superscript"/>
        </w:rPr>
        <w:footnoteReference w:id="5"/>
      </w:r>
      <w:r w:rsidRPr="00040A18">
        <w:rPr>
          <w:rFonts w:ascii="Book Antiqua" w:eastAsia="Book Antiqua" w:hAnsi="Book Antiqua" w:cs="Book Antiqua"/>
          <w:color w:val="000000" w:themeColor="text1"/>
          <w:sz w:val="22"/>
          <w:szCs w:val="22"/>
        </w:rPr>
        <w:t>. Përmirësimet në teknologjinë laboratorike dhe praktikën klinike kanë lejuar që IVF të evoluojë në një procedurë mjekësore që është efikase, e sigurt, e arritshme dhe relativisht e përballueshme. Në bazë të të dhënave për IVF në mbarë botën prej asaj kohe deri më sot në botë kanë lindur mbi 8 milion fëmijë</w:t>
      </w:r>
      <w:r w:rsidRPr="00040A18">
        <w:rPr>
          <w:rFonts w:ascii="Book Antiqua" w:eastAsia="Book Antiqua" w:hAnsi="Book Antiqua" w:cs="Book Antiqua"/>
          <w:color w:val="000000" w:themeColor="text1"/>
          <w:sz w:val="22"/>
          <w:szCs w:val="22"/>
          <w:vertAlign w:val="superscript"/>
        </w:rPr>
        <w:footnoteReference w:id="6"/>
      </w:r>
      <w:r w:rsidRPr="00040A18">
        <w:rPr>
          <w:rFonts w:ascii="Book Antiqua" w:eastAsia="Book Antiqua" w:hAnsi="Book Antiqua" w:cs="Book Antiqua"/>
          <w:color w:val="000000" w:themeColor="text1"/>
          <w:sz w:val="22"/>
          <w:szCs w:val="22"/>
        </w:rPr>
        <w:t xml:space="preserve">. Gjithashtu, sipas të dhënave të grumbulluara nga regjistrat e IVF prej vitit 1991-2014 vërehet rritje rapide e përdorimit të IVF në trajtimin e infertilitetit dhe bazuar në </w:t>
      </w:r>
      <w:r w:rsidRPr="00040A18">
        <w:rPr>
          <w:rFonts w:ascii="Book Antiqua" w:eastAsia="Book Antiqua" w:hAnsi="Book Antiqua" w:cs="Book Antiqua"/>
          <w:color w:val="000000" w:themeColor="text1"/>
        </w:rPr>
        <w:t xml:space="preserve">këto të dhëna është kalkuluar se çdo vit lindin më shumë se gjysëm milioni fëmijë me </w:t>
      </w:r>
      <w:r w:rsidRPr="00040A18">
        <w:rPr>
          <w:rFonts w:ascii="Book Antiqua" w:eastAsia="Book Antiqua" w:hAnsi="Book Antiqua" w:cs="Book Antiqua"/>
          <w:color w:val="000000" w:themeColor="text1"/>
          <w:sz w:val="22"/>
          <w:szCs w:val="22"/>
        </w:rPr>
        <w:t>FAM prej më shumë se 2 milion procedurave që realizohen gjatë vitit</w:t>
      </w:r>
      <w:r w:rsidRPr="00040A18">
        <w:rPr>
          <w:rFonts w:ascii="Book Antiqua" w:eastAsia="Book Antiqua" w:hAnsi="Book Antiqua" w:cs="Book Antiqua"/>
          <w:color w:val="000000" w:themeColor="text1"/>
          <w:sz w:val="22"/>
          <w:szCs w:val="22"/>
          <w:vertAlign w:val="superscript"/>
        </w:rPr>
        <w:t>7</w:t>
      </w:r>
      <w:r w:rsidRPr="00040A18">
        <w:rPr>
          <w:rFonts w:ascii="Book Antiqua" w:eastAsia="Book Antiqua" w:hAnsi="Book Antiqua" w:cs="Book Antiqua"/>
          <w:color w:val="000000" w:themeColor="text1"/>
          <w:sz w:val="22"/>
          <w:szCs w:val="22"/>
        </w:rPr>
        <w:t>.</w:t>
      </w:r>
    </w:p>
    <w:p w:rsidR="00C412AA" w:rsidRPr="00040A18" w:rsidRDefault="00C412AA">
      <w:pPr>
        <w:shd w:val="clear" w:color="auto" w:fill="FFFFFF"/>
        <w:spacing w:line="276" w:lineRule="auto"/>
        <w:jc w:val="both"/>
        <w:rPr>
          <w:rFonts w:ascii="Book Antiqua" w:eastAsia="Book Antiqua" w:hAnsi="Book Antiqua" w:cs="Book Antiqua"/>
          <w:color w:val="000000" w:themeColor="text1"/>
          <w:sz w:val="22"/>
          <w:szCs w:val="22"/>
        </w:rPr>
      </w:pPr>
    </w:p>
    <w:p w:rsidR="00C412AA" w:rsidRPr="00040A18" w:rsidRDefault="000A3EAC">
      <w:pPr>
        <w:shd w:val="clear" w:color="auto" w:fill="FFFFFF"/>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lastRenderedPageBreak/>
        <w:t>Në vendin tonë FAM ka filluar të aplikohet relativisht vonë. Për këtë shkak një numër i madh i çifteve me probleme të infertilitetit kanë kërkuar trajtim jashtë vendit me vite të</w:t>
      </w:r>
      <w:r w:rsidRPr="00040A18">
        <w:rPr>
          <w:rFonts w:ascii="Book Antiqua" w:eastAsia="Book Antiqua" w:hAnsi="Book Antiqua" w:cs="Book Antiqua"/>
          <w:color w:val="000000" w:themeColor="text1"/>
        </w:rPr>
        <w:t xml:space="preserve"> tëra. </w:t>
      </w:r>
      <w:r w:rsidRPr="00040A18">
        <w:rPr>
          <w:rFonts w:ascii="Book Antiqua" w:eastAsia="Book Antiqua" w:hAnsi="Book Antiqua" w:cs="Book Antiqua"/>
          <w:color w:val="000000" w:themeColor="text1"/>
          <w:sz w:val="22"/>
          <w:szCs w:val="22"/>
        </w:rPr>
        <w:t>Hapat e parë të  FAM në Kosovë kanë filluar që nga viti 2002 . Që nga fillimi i aplikimit të FAM në Kosovë, kjo veprimtari është ofruar vetëm në institucionet private. Duke e parë rritjen gjithnjë e më shumë të numrit të çifteve me probleme të infertilitetit në vendin tonë, sidomos në Kosovën e pasluftës, u rrit edhe numri i klinikave private që filluan të trajtonin këto probleme, me staf vendor por edhe ndërkombëtar.</w:t>
      </w:r>
    </w:p>
    <w:p w:rsidR="00C412AA" w:rsidRPr="00040A18" w:rsidRDefault="00C412AA">
      <w:pPr>
        <w:shd w:val="clear" w:color="auto" w:fill="FFFFFF"/>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Nё familjet me çrregullime tё trashёgueshme rekomandohet ofrimi i testimit gjenetik preimplantues</w:t>
      </w:r>
      <w:r w:rsidRPr="00040A18">
        <w:rPr>
          <w:rFonts w:ascii="Book Antiqua" w:eastAsia="Book Antiqua" w:hAnsi="Book Antiqua" w:cs="Book Antiqua"/>
          <w:color w:val="000000" w:themeColor="text1"/>
          <w:sz w:val="22"/>
          <w:szCs w:val="22"/>
          <w:vertAlign w:val="superscript"/>
        </w:rPr>
        <w:footnoteReference w:id="7"/>
      </w:r>
      <w:r w:rsidRPr="00040A18">
        <w:rPr>
          <w:rFonts w:ascii="Book Antiqua" w:eastAsia="Book Antiqua" w:hAnsi="Book Antiqua" w:cs="Book Antiqua"/>
          <w:color w:val="000000" w:themeColor="text1"/>
          <w:sz w:val="22"/>
          <w:szCs w:val="22"/>
        </w:rPr>
        <w:t>.Diagnoza gjenetike e preimplantimit ёshtё proces i testimit gjenetik gjatё aplikimit tё fekondimit in vitro, zgjedhja dhe transferimi i embrioneve tё shёndosha tek nёna. Në kuadër të FAM njihen si teste gjenetike preimplantuese (PGT) gjatë të cilave punohet me material qelizor nga embrioni të përgatitura në kuadër të FAM.</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Pёrfitimet e PGT:</w:t>
      </w:r>
    </w:p>
    <w:p w:rsidR="00C412AA" w:rsidRPr="00040A18" w:rsidRDefault="000A3EAC">
      <w:pPr>
        <w:numPr>
          <w:ilvl w:val="0"/>
          <w:numId w:val="12"/>
        </w:numPr>
        <w:pBdr>
          <w:top w:val="nil"/>
          <w:left w:val="nil"/>
          <w:bottom w:val="nil"/>
          <w:right w:val="nil"/>
          <w:between w:val="nil"/>
        </w:pBdr>
        <w:spacing w:line="276" w:lineRule="auto"/>
        <w:jc w:val="both"/>
        <w:rPr>
          <w:color w:val="000000" w:themeColor="text1"/>
          <w:sz w:val="22"/>
          <w:szCs w:val="22"/>
        </w:rPr>
      </w:pPr>
      <w:r w:rsidRPr="00040A18">
        <w:rPr>
          <w:rFonts w:ascii="Book Antiqua" w:eastAsia="Book Antiqua" w:hAnsi="Book Antiqua" w:cs="Book Antiqua"/>
          <w:color w:val="000000" w:themeColor="text1"/>
          <w:sz w:val="22"/>
          <w:szCs w:val="22"/>
        </w:rPr>
        <w:t>Rrit mundësin e suksesit tё aplikimit tё IVF;</w:t>
      </w:r>
    </w:p>
    <w:p w:rsidR="00C412AA" w:rsidRPr="00040A18" w:rsidRDefault="000A3EAC">
      <w:pPr>
        <w:numPr>
          <w:ilvl w:val="0"/>
          <w:numId w:val="12"/>
        </w:numPr>
        <w:pBdr>
          <w:top w:val="nil"/>
          <w:left w:val="nil"/>
          <w:bottom w:val="nil"/>
          <w:right w:val="nil"/>
          <w:between w:val="nil"/>
        </w:pBdr>
        <w:spacing w:line="276" w:lineRule="auto"/>
        <w:jc w:val="both"/>
        <w:rPr>
          <w:color w:val="000000" w:themeColor="text1"/>
          <w:sz w:val="22"/>
          <w:szCs w:val="22"/>
        </w:rPr>
      </w:pPr>
      <w:r w:rsidRPr="00040A18">
        <w:rPr>
          <w:rFonts w:ascii="Book Antiqua" w:eastAsia="Book Antiqua" w:hAnsi="Book Antiqua" w:cs="Book Antiqua"/>
          <w:color w:val="000000" w:themeColor="text1"/>
          <w:sz w:val="22"/>
          <w:szCs w:val="22"/>
        </w:rPr>
        <w:t>Zvogёlon rrezikun e abortit;</w:t>
      </w:r>
    </w:p>
    <w:p w:rsidR="00C412AA" w:rsidRPr="00040A18" w:rsidRDefault="000A3EAC">
      <w:pPr>
        <w:numPr>
          <w:ilvl w:val="0"/>
          <w:numId w:val="12"/>
        </w:numPr>
        <w:pBdr>
          <w:top w:val="nil"/>
          <w:left w:val="nil"/>
          <w:bottom w:val="nil"/>
          <w:right w:val="nil"/>
          <w:between w:val="nil"/>
        </w:pBdr>
        <w:spacing w:line="276" w:lineRule="auto"/>
        <w:jc w:val="both"/>
        <w:rPr>
          <w:color w:val="000000" w:themeColor="text1"/>
          <w:sz w:val="22"/>
          <w:szCs w:val="22"/>
        </w:rPr>
      </w:pPr>
      <w:r w:rsidRPr="00040A18">
        <w:rPr>
          <w:rFonts w:ascii="Book Antiqua" w:eastAsia="Book Antiqua" w:hAnsi="Book Antiqua" w:cs="Book Antiqua"/>
          <w:color w:val="000000" w:themeColor="text1"/>
          <w:sz w:val="22"/>
          <w:szCs w:val="22"/>
        </w:rPr>
        <w:t>Zvogëlon nevojёn e ndёrprerjes mjekёsore tё shtatёzёnisё;</w:t>
      </w:r>
    </w:p>
    <w:p w:rsidR="00C412AA" w:rsidRPr="00040A18" w:rsidRDefault="000A3EAC">
      <w:pPr>
        <w:numPr>
          <w:ilvl w:val="0"/>
          <w:numId w:val="12"/>
        </w:numPr>
        <w:pBdr>
          <w:top w:val="nil"/>
          <w:left w:val="nil"/>
          <w:bottom w:val="nil"/>
          <w:right w:val="nil"/>
          <w:between w:val="nil"/>
        </w:pBdr>
        <w:spacing w:line="276" w:lineRule="auto"/>
        <w:jc w:val="both"/>
        <w:rPr>
          <w:color w:val="000000" w:themeColor="text1"/>
          <w:sz w:val="22"/>
          <w:szCs w:val="22"/>
        </w:rPr>
      </w:pPr>
      <w:r w:rsidRPr="00040A18">
        <w:rPr>
          <w:rFonts w:ascii="Book Antiqua" w:eastAsia="Book Antiqua" w:hAnsi="Book Antiqua" w:cs="Book Antiqua"/>
          <w:color w:val="000000" w:themeColor="text1"/>
          <w:sz w:val="22"/>
          <w:szCs w:val="22"/>
        </w:rPr>
        <w:t>Zvoglon barrën financiare dhe presionin psikologjik tё tentimeve tё pёrseritura tё        pasukseshme tё IVF.</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Këto testime shfrytëzohen me qëllim të eliminimit të embrioneve me aneuploidi, depistimit të ndryshimeve strukturore dhe numerike kromozomale gjatë periudhës pre-implantuese. Ekzistojnё të gjetura shkencore qё PGS (skriningu/depistimi gjenetik preimplantues) ka potencial pёr tё rritur shkallёn e shtatёzënësisё dhe pёr tё zvogёluar shkallёn e abortit me zbulimin e anomalive numerike kromozomale</w:t>
      </w:r>
      <w:r w:rsidRPr="00040A18">
        <w:rPr>
          <w:rFonts w:ascii="Book Antiqua" w:eastAsia="Book Antiqua" w:hAnsi="Book Antiqua" w:cs="Book Antiqua"/>
          <w:color w:val="000000" w:themeColor="text1"/>
          <w:sz w:val="22"/>
          <w:szCs w:val="22"/>
          <w:vertAlign w:val="superscript"/>
        </w:rPr>
        <w:t>8</w:t>
      </w:r>
      <w:r w:rsidRPr="00040A18">
        <w:rPr>
          <w:rFonts w:ascii="Book Antiqua" w:eastAsia="Book Antiqua" w:hAnsi="Book Antiqua" w:cs="Book Antiqua"/>
          <w:color w:val="000000" w:themeColor="text1"/>
          <w:sz w:val="22"/>
          <w:szCs w:val="22"/>
        </w:rPr>
        <w:t>.</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Gjatë një shtatëzënësie normale parashihet që shtatëzëna gjatë kontrollave të saja të rregullta n</w:t>
      </w:r>
      <w:r w:rsidR="00D93A27" w:rsidRPr="00040A18">
        <w:rPr>
          <w:rFonts w:ascii="Book Antiqua" w:eastAsia="Book Antiqua" w:hAnsi="Book Antiqua" w:cs="Book Antiqua"/>
          <w:color w:val="000000" w:themeColor="text1"/>
          <w:sz w:val="22"/>
          <w:szCs w:val="22"/>
        </w:rPr>
        <w:t>ëse vlerësohet që ka indikacion</w:t>
      </w:r>
      <w:r w:rsidRPr="00040A18">
        <w:rPr>
          <w:rFonts w:ascii="Book Antiqua" w:eastAsia="Book Antiqua" w:hAnsi="Book Antiqua" w:cs="Book Antiqua"/>
          <w:color w:val="000000" w:themeColor="text1"/>
          <w:sz w:val="22"/>
          <w:szCs w:val="22"/>
        </w:rPr>
        <w:t>, t’i nënshtrohet edhe amniocentezёs , që ka për cak zbulimin e hershëm të çrregullimeve në numër apo strukturë të kromozomeve</w:t>
      </w:r>
      <w:r w:rsidRPr="00040A18">
        <w:rPr>
          <w:rFonts w:ascii="Book Antiqua" w:eastAsia="Book Antiqua" w:hAnsi="Book Antiqua" w:cs="Book Antiqua"/>
          <w:color w:val="000000" w:themeColor="text1"/>
          <w:sz w:val="22"/>
          <w:szCs w:val="22"/>
          <w:vertAlign w:val="superscript"/>
        </w:rPr>
        <w:footnoteReference w:id="8"/>
      </w:r>
      <w:r w:rsidRPr="00040A18">
        <w:rPr>
          <w:rFonts w:ascii="Book Antiqua" w:eastAsia="Book Antiqua" w:hAnsi="Book Antiqua" w:cs="Book Antiqua"/>
          <w:color w:val="000000" w:themeColor="text1"/>
          <w:sz w:val="22"/>
          <w:szCs w:val="22"/>
        </w:rPr>
        <w:t xml:space="preserve">. Kjo bëhet me teknikën e amniocentezës, përmes marrjes së mostrës nga lëngu amniotik, e cila pastaj analizohet në laboratorin citogjenetik. Kështu bëhet e mundur të diagnostikohen çrregullimet kromozomale te fetuset dhe me kohë të planifikohet hapi i ardhshëm për shtatëzani. </w:t>
      </w:r>
    </w:p>
    <w:p w:rsidR="00C412AA" w:rsidRPr="00040A18" w:rsidRDefault="00C412AA">
      <w:pPr>
        <w:shd w:val="clear" w:color="auto" w:fill="FFFFFF"/>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Të gjitha vendet e BE-së (me përjashtim të Irlandës) e kanë të rregulluar bazën ligjore për veprimtaritë që ndërlidhen me FAM. Shumica e mbështesin këtë rregullim edhe me udhërrëfyes </w:t>
      </w:r>
      <w:r w:rsidRPr="00040A18">
        <w:rPr>
          <w:rFonts w:ascii="Book Antiqua" w:eastAsia="Book Antiqua" w:hAnsi="Book Antiqua" w:cs="Book Antiqua"/>
          <w:color w:val="000000" w:themeColor="text1"/>
          <w:sz w:val="22"/>
          <w:szCs w:val="22"/>
        </w:rPr>
        <w:lastRenderedPageBreak/>
        <w:t>klinik.Për shkak të natyrës së punës, zakonisht legjislacioni ka pësuar disa herë ndryshime, shumë shpesh edhe me polemika në shoqëri</w:t>
      </w:r>
      <w:r w:rsidRPr="00040A18">
        <w:rPr>
          <w:rFonts w:ascii="Book Antiqua" w:eastAsia="Book Antiqua" w:hAnsi="Book Antiqua" w:cs="Book Antiqua"/>
          <w:color w:val="000000" w:themeColor="text1"/>
          <w:sz w:val="22"/>
          <w:szCs w:val="22"/>
          <w:vertAlign w:val="superscript"/>
        </w:rPr>
        <w:footnoteReference w:id="9"/>
      </w:r>
      <w:r w:rsidRPr="00040A18">
        <w:rPr>
          <w:rFonts w:ascii="Book Antiqua" w:eastAsia="Book Antiqua" w:hAnsi="Book Antiqua" w:cs="Book Antiqua"/>
          <w:color w:val="000000" w:themeColor="text1"/>
          <w:sz w:val="22"/>
          <w:szCs w:val="22"/>
        </w:rPr>
        <w:t>.</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Ligji për Shëndetin riprodhues Nr.02/L-76 rregullon organizimin, funksionimin dhe mbikëqyrjen e të gjitha veprimtarive që zhvillohen në fushën e shëndetit riprodhues, në institucionet shëndetësore, mbron të drejtat riprodhuese të individit e të çiftit duke përfshirë të drejtën për t’u informuar dhe për të pasur qasje në shërbime të duhura. Projektligji i ri për ShR dhe FAM është në proces të aprovimit. UA 06/2013 - rregullon procedurat e frytnimit të asistuar mjekësor, realizimin dhe këshillimin për këto procedura si e drejtë themelore e individit që synon të trajtojë një ose disa shfaqje mjekësore të infertilitetit, në rastet kur çiftet nuk arrijnë shtatzënësi të dëshiruar me rrugë natyrore. Ky UA zbatohet në institucionet shëndetësore që ushtrojnë veprimtari shëndetësore në fushën e FAM, ku aplikohet forma e Fertilizimit tëAsistuar Mjekësor homolog dhe Fertilizimit tëAsistuar Heterolog. Në institucionet publike shëndetësore të Kosovës nuk ushtrohet FAM, derisa në sektorin privat</w:t>
      </w:r>
      <w:r w:rsidRPr="00040A18">
        <w:rPr>
          <w:rFonts w:ascii="Book Antiqua" w:eastAsia="Book Antiqua" w:hAnsi="Book Antiqua" w:cs="Book Antiqua"/>
          <w:b/>
          <w:color w:val="000000" w:themeColor="text1"/>
          <w:sz w:val="22"/>
          <w:szCs w:val="22"/>
        </w:rPr>
        <w:t xml:space="preserve">, </w:t>
      </w:r>
      <w:r w:rsidRPr="00040A18">
        <w:rPr>
          <w:rFonts w:ascii="Book Antiqua" w:eastAsia="Book Antiqua" w:hAnsi="Book Antiqua" w:cs="Book Antiqua"/>
          <w:color w:val="000000" w:themeColor="text1"/>
          <w:sz w:val="22"/>
          <w:szCs w:val="22"/>
        </w:rPr>
        <w:t xml:space="preserve">tetë (8) spitale private janë të licencuara (viti 2022) për shërbime të Obsterikës, Gjinekologjisë dhe Infertilitetit, në kuadër të së cilave e ofrojnë edhe shërbimin e FAM. </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Në Republikën e Kosovës rolin e rregullatorit të punës së institucioneve që ofrojnë shërbime të FAM e luan Komisioni për Frytnim të Asistuar Mjekësor (KFAM), i themeluar sipas Udhëzimit Administrativ (UA) Nr. 06/2013. KFAM është përgjegjës për përcjelljen sistematike të zbatimit të UA Nr. 06/2013 për Frytnimin e Asistuar Mjekësor si dhe çështjeve që lidhen me FAM. Emërohet me vendim të Ministrit të Shëndetësisë dhe i raporton atij në baza 6 mujore dhe vjetore.</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Në anën tjetër, moszbatimi i Ligjit 04/L-249 për Sigurime Shëndetësore bën që barrën e shpenzimeve të hulumtimit dhe trajtimit të infertilitetit ta bartin çiftet. Ky ligj, procedurat e fertlizimit të asistuar mjekësor i përjashton nga mbulimi përveç në rastet e personave të liruar nga pagesa e kontributeve dhe në këto ras</w:t>
      </w:r>
      <w:r w:rsidR="00D93A27" w:rsidRPr="00040A18">
        <w:rPr>
          <w:rFonts w:ascii="Book Antiqua" w:eastAsia="Book Antiqua" w:hAnsi="Book Antiqua" w:cs="Book Antiqua"/>
          <w:color w:val="000000" w:themeColor="text1"/>
          <w:sz w:val="22"/>
          <w:szCs w:val="22"/>
        </w:rPr>
        <w:t xml:space="preserve">te financimi bëhet vetëm për </w:t>
      </w:r>
      <w:r w:rsidRPr="00040A18">
        <w:rPr>
          <w:rFonts w:ascii="Book Antiqua" w:eastAsia="Book Antiqua" w:hAnsi="Book Antiqua" w:cs="Book Antiqua"/>
          <w:color w:val="000000" w:themeColor="text1"/>
          <w:sz w:val="22"/>
          <w:szCs w:val="22"/>
        </w:rPr>
        <w:t>një procedurë të FAM</w:t>
      </w:r>
      <w:r w:rsidRPr="00040A18">
        <w:rPr>
          <w:rFonts w:ascii="Book Antiqua" w:eastAsia="Book Antiqua" w:hAnsi="Book Antiqua" w:cs="Book Antiqua"/>
          <w:color w:val="000000" w:themeColor="text1"/>
          <w:sz w:val="22"/>
          <w:szCs w:val="22"/>
          <w:vertAlign w:val="superscript"/>
        </w:rPr>
        <w:footnoteReference w:id="10"/>
      </w:r>
      <w:r w:rsidRPr="00040A18">
        <w:rPr>
          <w:rFonts w:ascii="Book Antiqua" w:eastAsia="Book Antiqua" w:hAnsi="Book Antiqua" w:cs="Book Antiqua"/>
          <w:color w:val="000000" w:themeColor="text1"/>
          <w:sz w:val="22"/>
          <w:szCs w:val="22"/>
        </w:rPr>
        <w:t>.</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rPr>
          <w:rFonts w:ascii="Book Antiqua" w:eastAsia="Book Antiqua" w:hAnsi="Book Antiqua" w:cs="Book Antiqua"/>
          <w:b/>
          <w:color w:val="000000" w:themeColor="text1"/>
          <w:sz w:val="22"/>
          <w:szCs w:val="22"/>
        </w:rPr>
      </w:pPr>
    </w:p>
    <w:p w:rsidR="00C412AA" w:rsidRPr="00040A18" w:rsidRDefault="00C412AA">
      <w:pPr>
        <w:spacing w:line="276" w:lineRule="auto"/>
        <w:rPr>
          <w:rFonts w:ascii="Book Antiqua" w:eastAsia="Book Antiqua" w:hAnsi="Book Antiqua" w:cs="Book Antiqua"/>
          <w:b/>
          <w:color w:val="000000" w:themeColor="text1"/>
          <w:sz w:val="22"/>
          <w:szCs w:val="22"/>
        </w:rPr>
      </w:pPr>
    </w:p>
    <w:p w:rsidR="00C412AA" w:rsidRPr="00040A18" w:rsidRDefault="000A3EAC">
      <w:pPr>
        <w:numPr>
          <w:ilvl w:val="0"/>
          <w:numId w:val="1"/>
        </w:numPr>
        <w:pBdr>
          <w:top w:val="nil"/>
          <w:left w:val="nil"/>
          <w:bottom w:val="nil"/>
          <w:right w:val="nil"/>
          <w:between w:val="nil"/>
        </w:pBdr>
        <w:spacing w:line="276" w:lineRule="auto"/>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METODOLOGJIA</w:t>
      </w:r>
    </w:p>
    <w:p w:rsidR="00C412AA" w:rsidRPr="00040A18" w:rsidRDefault="000A3EAC">
      <w:pPr>
        <w:spacing w:before="240" w:after="12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Hartimi i Planit të veprimit për funksionalizimin e fertilizimit të asistuar mjekësor dhe citogjenetikë 2023-2025 është hartuar nga grupi punues i emëruar nga Ministria e Shëndetësisë, nën udhëheqjen e Klinikës Obstetrike Gjinekologjike dhe anëtarësi të profesionistëve tjerë të cilët posedojnë njohuri dhe shkathtësi për fushën e caktuar si dhe ekspertizë për hartim të dokumenteve strategjike.</w:t>
      </w:r>
    </w:p>
    <w:p w:rsidR="00C412AA" w:rsidRPr="00040A18" w:rsidRDefault="000A3EAC">
      <w:pPr>
        <w:spacing w:before="240" w:after="12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lastRenderedPageBreak/>
        <w:t xml:space="preserve">Për përgatitjen e planit janë shqyrtuar të dhëna të bazuara në dëshmi nga raportet e siguruara nga Klinika Obstetrike Gjinekologjike në QKUK, të dhënat e grumbulluara nga KFAM, Direktivat evropiane për FAM (Direktiva 2004/23/EC) si dhe hulumtime dhe dokumente tjera relevante të ndërlidhura me këtë fushë. </w:t>
      </w:r>
    </w:p>
    <w:p w:rsidR="00C412AA" w:rsidRPr="00040A18" w:rsidRDefault="000A3EAC">
      <w:pPr>
        <w:spacing w:before="240" w:after="12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Janë konsultuar dokumente të ndryshme relevante vendore dhe ndërkombëtare me qëllim të përfitimit të njohurive dhe përvojave nga zhvillimet e këtyre shërbimeve në veçanti në sektorin publik të sistemit shëndetësor.</w:t>
      </w:r>
    </w:p>
    <w:p w:rsidR="00C412AA" w:rsidRPr="00040A18" w:rsidRDefault="000A3EAC">
      <w:pPr>
        <w:spacing w:before="240" w:after="12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Grupi punues përmes punëtorive dhe takimeve të rregullta ka analizuar dhe diskutuar sfidat e identifikuara në fushën e fertilizimit të asistuar dhe diagnostikës citogjenetike si dhe kanë identifikuar mënyrat për të adresuar këto sfida me qëllim të përmbushjes së aktiviteteve dhe arritjes së objektivave të përcaktuara për periudhën kohore të përcaktuar në dokument.</w:t>
      </w:r>
    </w:p>
    <w:p w:rsidR="00C412AA" w:rsidRPr="00040A18" w:rsidRDefault="000A3EAC">
      <w:pPr>
        <w:spacing w:before="240" w:after="12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Dokumenti ka kaluar edhe fazat e konsultimit të gjërë me qëllim të ofrimit të mundësisë për komente dhe gjithëpërfshirjes së profesionistëve në hartim të dokumentit.</w:t>
      </w:r>
    </w:p>
    <w:p w:rsidR="00C412AA" w:rsidRPr="00040A18" w:rsidRDefault="00C412AA">
      <w:pPr>
        <w:spacing w:before="240" w:after="120" w:line="276" w:lineRule="auto"/>
        <w:jc w:val="both"/>
        <w:rPr>
          <w:rFonts w:ascii="Book Antiqua" w:eastAsia="Book Antiqua" w:hAnsi="Book Antiqua" w:cs="Book Antiqua"/>
          <w:color w:val="000000" w:themeColor="text1"/>
        </w:rPr>
      </w:pPr>
    </w:p>
    <w:p w:rsidR="00C412AA" w:rsidRPr="00040A18" w:rsidRDefault="000A3EAC">
      <w:pPr>
        <w:numPr>
          <w:ilvl w:val="0"/>
          <w:numId w:val="1"/>
        </w:numPr>
        <w:pBdr>
          <w:top w:val="nil"/>
          <w:left w:val="nil"/>
          <w:bottom w:val="nil"/>
          <w:right w:val="nil"/>
          <w:between w:val="nil"/>
        </w:pBdr>
        <w:spacing w:line="276" w:lineRule="auto"/>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SFONDI</w:t>
      </w:r>
    </w:p>
    <w:p w:rsidR="00C412AA" w:rsidRPr="00040A18" w:rsidRDefault="00C412AA">
      <w:pPr>
        <w:pBdr>
          <w:top w:val="nil"/>
          <w:left w:val="nil"/>
          <w:bottom w:val="nil"/>
          <w:right w:val="nil"/>
          <w:between w:val="nil"/>
        </w:pBdr>
        <w:spacing w:line="276" w:lineRule="auto"/>
        <w:ind w:left="360"/>
        <w:rPr>
          <w:rFonts w:ascii="Book Antiqua" w:eastAsia="Book Antiqua" w:hAnsi="Book Antiqua" w:cs="Book Antiqua"/>
          <w:color w:val="000000" w:themeColor="text1"/>
        </w:rPr>
      </w:pPr>
    </w:p>
    <w:p w:rsidR="00C412AA" w:rsidRPr="00040A18" w:rsidRDefault="000A3EAC">
      <w:pPr>
        <w:pBdr>
          <w:top w:val="nil"/>
          <w:left w:val="nil"/>
          <w:bottom w:val="nil"/>
          <w:right w:val="nil"/>
          <w:between w:val="nil"/>
        </w:pBdr>
        <w:spacing w:line="276" w:lineRule="auto"/>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Funksionalizimi i shërbimit për FAM-it dhe ai i citogjenetik</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s me amniocentezë duhet të zhvillohen në mënyrë të pavarur dhe paralele meqenëse i përkasin lëmive të ndryshme (infertilitetit, gjenetikës dhe perinatologjisë).</w:t>
      </w:r>
    </w:p>
    <w:p w:rsidR="00C412AA" w:rsidRPr="00040A18" w:rsidRDefault="00C412AA">
      <w:pPr>
        <w:pBdr>
          <w:top w:val="nil"/>
          <w:left w:val="nil"/>
          <w:bottom w:val="nil"/>
          <w:right w:val="nil"/>
          <w:between w:val="nil"/>
        </w:pBdr>
        <w:spacing w:line="276" w:lineRule="auto"/>
        <w:ind w:left="360"/>
        <w:rPr>
          <w:rFonts w:ascii="Book Antiqua" w:eastAsia="Book Antiqua" w:hAnsi="Book Antiqua" w:cs="Book Antiqua"/>
          <w:b/>
          <w:color w:val="000000" w:themeColor="text1"/>
        </w:rPr>
      </w:pPr>
    </w:p>
    <w:p w:rsidR="00C412AA" w:rsidRPr="00040A18" w:rsidRDefault="000A3EAC">
      <w:pPr>
        <w:numPr>
          <w:ilvl w:val="1"/>
          <w:numId w:val="14"/>
        </w:numPr>
        <w:pBdr>
          <w:top w:val="nil"/>
          <w:left w:val="nil"/>
          <w:bottom w:val="nil"/>
          <w:right w:val="nil"/>
          <w:between w:val="nil"/>
        </w:pBdr>
        <w:spacing w:line="276" w:lineRule="auto"/>
        <w:jc w:val="both"/>
        <w:rPr>
          <w:rFonts w:ascii="Book Antiqua" w:eastAsia="Book Antiqua" w:hAnsi="Book Antiqua" w:cs="Book Antiqua"/>
          <w:b/>
          <w:i/>
          <w:color w:val="000000" w:themeColor="text1"/>
        </w:rPr>
      </w:pPr>
      <w:r w:rsidRPr="00040A18">
        <w:rPr>
          <w:rFonts w:ascii="Book Antiqua" w:eastAsia="Book Antiqua" w:hAnsi="Book Antiqua" w:cs="Book Antiqua"/>
          <w:i/>
          <w:color w:val="000000" w:themeColor="text1"/>
        </w:rPr>
        <w:t>Fertilizimi i asistuar mjekësor</w:t>
      </w:r>
    </w:p>
    <w:p w:rsidR="00C412AA" w:rsidRPr="00040A18" w:rsidRDefault="00C412AA">
      <w:pPr>
        <w:jc w:val="both"/>
        <w:rPr>
          <w:rFonts w:ascii="Book Antiqua" w:eastAsia="Book Antiqua" w:hAnsi="Book Antiqua" w:cs="Book Antiqua"/>
          <w:color w:val="000000" w:themeColor="text1"/>
          <w:sz w:val="22"/>
          <w:szCs w:val="22"/>
        </w:rPr>
      </w:pPr>
    </w:p>
    <w:p w:rsidR="00C412AA" w:rsidRPr="00040A18" w:rsidRDefault="000A3EAC">
      <w:pPr>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Në kuadër të Klinikës Gjinekologjike në SHSKUK ekziston Reparti i Sterilitetit prej themelimit të kesaj Klinike i cili ka ofruar shërbime dignostike dhe trajtime operative për infertilitet. </w:t>
      </w:r>
    </w:p>
    <w:p w:rsidR="00C412AA" w:rsidRPr="00040A18" w:rsidRDefault="00C412AA">
      <w:pPr>
        <w:jc w:val="both"/>
        <w:rPr>
          <w:rFonts w:ascii="Book Antiqua" w:eastAsia="Book Antiqua" w:hAnsi="Book Antiqua" w:cs="Book Antiqua"/>
          <w:color w:val="000000" w:themeColor="text1"/>
          <w:sz w:val="22"/>
          <w:szCs w:val="22"/>
        </w:rPr>
      </w:pPr>
    </w:p>
    <w:p w:rsidR="00C412AA" w:rsidRPr="00040A18" w:rsidRDefault="000A3EAC">
      <w:pPr>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Ekziston korniza ligjore adekuate që FAM-i të fillon punën menjë</w:t>
      </w:r>
      <w:r w:rsidR="00D93A27" w:rsidRPr="00040A18">
        <w:rPr>
          <w:rFonts w:ascii="Book Antiqua" w:eastAsia="Book Antiqua" w:hAnsi="Book Antiqua" w:cs="Book Antiqua"/>
          <w:color w:val="000000" w:themeColor="text1"/>
          <w:sz w:val="22"/>
          <w:szCs w:val="22"/>
        </w:rPr>
        <w:t xml:space="preserve">herë dhe </w:t>
      </w:r>
      <w:r w:rsidRPr="00040A18">
        <w:rPr>
          <w:rFonts w:ascii="Book Antiqua" w:eastAsia="Book Antiqua" w:hAnsi="Book Antiqua" w:cs="Book Antiqua"/>
          <w:color w:val="000000" w:themeColor="text1"/>
          <w:sz w:val="22"/>
          <w:szCs w:val="22"/>
        </w:rPr>
        <w:t>shërbimi i FAM të ofrohet në kuadër të këtij reparti të KOGJ/SHSKUK.</w:t>
      </w:r>
    </w:p>
    <w:p w:rsidR="00C412AA" w:rsidRPr="00040A18" w:rsidRDefault="00C412AA">
      <w:pPr>
        <w:jc w:val="both"/>
        <w:rPr>
          <w:rFonts w:ascii="Book Antiqua" w:eastAsia="Book Antiqua" w:hAnsi="Book Antiqua" w:cs="Book Antiqua"/>
          <w:color w:val="000000" w:themeColor="text1"/>
          <w:sz w:val="22"/>
          <w:szCs w:val="22"/>
        </w:rPr>
      </w:pPr>
    </w:p>
    <w:p w:rsidR="00C412AA" w:rsidRPr="00040A18" w:rsidRDefault="000A3EAC">
      <w:pPr>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Emri i repartit te Sterilitetit duhet të ndryshohet në Repart të Infertilitetit dhe FAM.</w:t>
      </w:r>
    </w:p>
    <w:p w:rsidR="00C412AA" w:rsidRPr="00040A18" w:rsidRDefault="000A3EAC">
      <w:pPr>
        <w:spacing w:before="240" w:after="12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Infrastruktura e repartit është e gatshme (</w:t>
      </w:r>
      <w:r w:rsidR="00D93A27" w:rsidRPr="00040A18">
        <w:rPr>
          <w:rFonts w:ascii="Book Antiqua" w:eastAsia="Book Antiqua" w:hAnsi="Book Antiqua" w:cs="Book Antiqua"/>
          <w:color w:val="000000" w:themeColor="text1"/>
          <w:sz w:val="22"/>
          <w:szCs w:val="22"/>
        </w:rPr>
        <w:t xml:space="preserve">e renovuar në vitin 2020-2022) </w:t>
      </w:r>
      <w:r w:rsidRPr="00040A18">
        <w:rPr>
          <w:rFonts w:ascii="Book Antiqua" w:eastAsia="Book Antiqua" w:hAnsi="Book Antiqua" w:cs="Book Antiqua"/>
          <w:color w:val="000000" w:themeColor="text1"/>
          <w:sz w:val="22"/>
          <w:szCs w:val="22"/>
        </w:rPr>
        <w:t xml:space="preserve">dhe ky repart i plotëson kriteret  hapësinore për ofrimin e këtij shërbimi. </w:t>
      </w:r>
    </w:p>
    <w:p w:rsidR="00C412AA" w:rsidRPr="00040A18" w:rsidRDefault="000A3EAC">
      <w:pPr>
        <w:spacing w:before="240" w:after="12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Poashtu stafi ekzistues (mjek specialist dhe embriolog) </w:t>
      </w:r>
      <w:r w:rsidR="00D93A27" w:rsidRPr="00040A18">
        <w:rPr>
          <w:rFonts w:ascii="Book Antiqua" w:eastAsia="Book Antiqua" w:hAnsi="Book Antiqua" w:cs="Book Antiqua"/>
          <w:color w:val="000000" w:themeColor="text1"/>
          <w:sz w:val="22"/>
          <w:szCs w:val="22"/>
        </w:rPr>
        <w:t xml:space="preserve">i plotëson kriteret në bazë të </w:t>
      </w:r>
      <w:r w:rsidRPr="00040A18">
        <w:rPr>
          <w:rFonts w:ascii="Book Antiqua" w:eastAsia="Book Antiqua" w:hAnsi="Book Antiqua" w:cs="Book Antiqua"/>
          <w:color w:val="000000" w:themeColor="text1"/>
          <w:sz w:val="22"/>
          <w:szCs w:val="22"/>
        </w:rPr>
        <w:t>udhëzimit administrativ  06/2013.</w:t>
      </w:r>
    </w:p>
    <w:p w:rsidR="00C412AA" w:rsidRPr="00040A18" w:rsidRDefault="000A3EAC">
      <w:pPr>
        <w:spacing w:before="240" w:after="12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Funksionalizimi duhet të realizohet nëpër faza të ndryshme në periudhën prej 2023-2025 sipas këtij plani të veprimit. </w:t>
      </w:r>
    </w:p>
    <w:p w:rsidR="00C412AA" w:rsidRPr="00040A18" w:rsidRDefault="000A3EAC">
      <w:pPr>
        <w:spacing w:before="240" w:after="12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lastRenderedPageBreak/>
        <w:t>Fillimisht do të ofrohet vetëm FAM homolog (me qeliza të bashkëshortëve). Në trajtim nuk do te pranohen çiftet të cilët kanë nevojë për donacion deri në krijmin e kushteve (themelimi i bankës së qelizave dhe regjistri i donatorëve). Për këtë arsye në ketë fazë do të pranohen në trajtim vetëm çiftet me status të rregulluar sipas ligjit për familjen, të cilët i plotësojnë kushtet klinike për të arritur tek shtatëzania me qelizat e veta.</w:t>
      </w:r>
    </w:p>
    <w:p w:rsidR="00C412AA" w:rsidRPr="00040A18" w:rsidRDefault="000A3EAC">
      <w:pPr>
        <w:spacing w:after="160" w:line="259"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Procedurat klinike fillimisht do të bazohen në udhërrefyesit dhe protokolet te ESHRE (Shoqata Evropiane për Reproduksion Human dhe Embriologji) t</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cilat jan</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t</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pranuara nga vendet evropiane </w:t>
      </w:r>
      <w:r w:rsidR="00D93A27" w:rsidRPr="00040A18">
        <w:rPr>
          <w:rFonts w:ascii="Book Antiqua" w:eastAsia="Book Antiqua" w:hAnsi="Book Antiqua" w:cs="Book Antiqua"/>
          <w:color w:val="000000" w:themeColor="text1"/>
          <w:sz w:val="22"/>
          <w:szCs w:val="22"/>
        </w:rPr>
        <w:t xml:space="preserve">dhe periodikisht përditesohen, </w:t>
      </w:r>
      <w:r w:rsidRPr="00040A18">
        <w:rPr>
          <w:rFonts w:ascii="Book Antiqua" w:eastAsia="Book Antiqua" w:hAnsi="Book Antiqua" w:cs="Book Antiqua"/>
          <w:color w:val="000000" w:themeColor="text1"/>
          <w:sz w:val="22"/>
          <w:szCs w:val="22"/>
        </w:rPr>
        <w:t>deri në nxjerrjen e udh</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rr</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fyesve vendor t</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cil</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t do t</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jen</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t</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bazuar n</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ato t</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ESHRE. </w:t>
      </w:r>
    </w:p>
    <w:p w:rsidR="00C412AA" w:rsidRPr="00040A18" w:rsidRDefault="000A3EAC">
      <w:pPr>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Reparti i FAM-it do të ketë funksionin jo vetëm klinik por edhe eduktivo-arsimor.</w:t>
      </w:r>
    </w:p>
    <w:p w:rsidR="00C412AA" w:rsidRPr="00040A18" w:rsidRDefault="00C412AA">
      <w:pPr>
        <w:shd w:val="clear" w:color="auto" w:fill="FFFFFF"/>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Me rritjen e sëmundjeve malinje sidomos te gjeneratat e reja në bashkëpunim me Institutin e Onkologjisë me zbatimin e këtij plani për herë të parë në KOGJ do të ofrohet ruajtja e qelizave gjinore te pacientët para trajtimit onkologjik para dhe gjatë moshës reproduktive.</w:t>
      </w:r>
    </w:p>
    <w:p w:rsidR="00C412AA" w:rsidRPr="00040A18" w:rsidRDefault="00C412AA">
      <w:pPr>
        <w:jc w:val="both"/>
        <w:rPr>
          <w:rFonts w:ascii="Book Antiqua" w:eastAsia="Book Antiqua" w:hAnsi="Book Antiqua" w:cs="Book Antiqua"/>
          <w:color w:val="000000" w:themeColor="text1"/>
          <w:sz w:val="22"/>
          <w:szCs w:val="22"/>
        </w:rPr>
      </w:pPr>
    </w:p>
    <w:p w:rsidR="00C412AA" w:rsidRPr="00040A18" w:rsidRDefault="000A3EAC">
      <w:pPr>
        <w:spacing w:after="160" w:line="259"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Barnat për FAM nuk janë në listën esenciale të barnave (përveq clomifenit), prandaj pacientët do të detyrohen ta sigurojnë terapinë nëse MSh nuk gjen mundësi për sigurimin e saj. Shërbimi i FAM do të ofrohet në bazë të kostos s</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materialeve shpenzuese me participim nga ana e pacientit që do të caktohet për një pacient (sipas UA për bashkëpagesa i cili duhet të plotësohet/ndryshohet me shërbime për FAM dhe shërbime diagnostike për citogjenetikë). Kosto </w:t>
      </w:r>
      <w:r w:rsidR="00D93A27" w:rsidRPr="00040A18">
        <w:rPr>
          <w:rFonts w:ascii="Book Antiqua" w:eastAsia="Book Antiqua" w:hAnsi="Book Antiqua" w:cs="Book Antiqua"/>
          <w:color w:val="000000" w:themeColor="text1"/>
          <w:sz w:val="22"/>
          <w:szCs w:val="22"/>
        </w:rPr>
        <w:t>e</w:t>
      </w:r>
      <w:r w:rsidRPr="00040A18">
        <w:rPr>
          <w:rFonts w:ascii="Book Antiqua" w:eastAsia="Book Antiqua" w:hAnsi="Book Antiqua" w:cs="Book Antiqua"/>
          <w:color w:val="000000" w:themeColor="text1"/>
          <w:sz w:val="22"/>
          <w:szCs w:val="22"/>
        </w:rPr>
        <w:t xml:space="preserve"> cila sigurisht do të jetë dukshëm më e ulët se sa në sektorin privat.</w:t>
      </w:r>
    </w:p>
    <w:p w:rsidR="00C412AA" w:rsidRPr="00040A18" w:rsidRDefault="000A3EAC">
      <w:pPr>
        <w:spacing w:after="160"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Për trajtimin homolog (me qeliza vetanake) me të cilin do të fillon punën reparti d</w:t>
      </w:r>
      <w:r w:rsidR="00D93A27" w:rsidRPr="00040A18">
        <w:rPr>
          <w:rFonts w:ascii="Book Antiqua" w:eastAsia="Book Antiqua" w:hAnsi="Book Antiqua" w:cs="Book Antiqua"/>
          <w:color w:val="000000" w:themeColor="text1"/>
          <w:sz w:val="22"/>
          <w:szCs w:val="22"/>
        </w:rPr>
        <w:t xml:space="preserve">uhet të përcaktohen kriteret e moshës </w:t>
      </w:r>
      <w:r w:rsidRPr="00040A18">
        <w:rPr>
          <w:rFonts w:ascii="Book Antiqua" w:eastAsia="Book Antiqua" w:hAnsi="Book Antiqua" w:cs="Book Antiqua"/>
          <w:color w:val="000000" w:themeColor="text1"/>
          <w:sz w:val="22"/>
          <w:szCs w:val="22"/>
        </w:rPr>
        <w:t xml:space="preserve">dhe kriteret klinike, te femra  (hormonale, ultrasonografia, </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isterosalpingografia etj) dhe te mashkulli (spermogrami). Rastet diskutabile, ankesat etj., do te udhëzohen në KFAM</w:t>
      </w:r>
      <w:r w:rsidRPr="00040A18">
        <w:rPr>
          <w:color w:val="000000" w:themeColor="text1"/>
          <w:sz w:val="22"/>
          <w:szCs w:val="22"/>
        </w:rPr>
        <w:t>.</w:t>
      </w:r>
    </w:p>
    <w:p w:rsidR="00C412AA" w:rsidRPr="00040A18" w:rsidRDefault="00C412AA">
      <w:pPr>
        <w:spacing w:after="160" w:line="259" w:lineRule="auto"/>
        <w:jc w:val="both"/>
        <w:rPr>
          <w:color w:val="000000" w:themeColor="text1"/>
          <w:sz w:val="28"/>
          <w:szCs w:val="28"/>
        </w:rPr>
      </w:pPr>
    </w:p>
    <w:tbl>
      <w:tblPr>
        <w:tblStyle w:val="a"/>
        <w:tblW w:w="9890" w:type="dxa"/>
        <w:tblLayout w:type="fixed"/>
        <w:tblLook w:val="0400" w:firstRow="0" w:lastRow="0" w:firstColumn="0" w:lastColumn="0" w:noHBand="0" w:noVBand="1"/>
      </w:tblPr>
      <w:tblGrid>
        <w:gridCol w:w="4220"/>
        <w:gridCol w:w="5670"/>
      </w:tblGrid>
      <w:tr w:rsidR="00040A18" w:rsidRPr="00040A18">
        <w:trPr>
          <w:trHeight w:val="288"/>
        </w:trPr>
        <w:tc>
          <w:tcPr>
            <w:tcW w:w="4220" w:type="dxa"/>
            <w:tcBorders>
              <w:top w:val="single" w:sz="8" w:space="0" w:color="FFC000"/>
              <w:left w:val="single" w:sz="8" w:space="0" w:color="FFC000"/>
              <w:bottom w:val="single" w:sz="8" w:space="0" w:color="FFC000"/>
              <w:right w:val="single" w:sz="8" w:space="0" w:color="FFC000"/>
            </w:tcBorders>
            <w:shd w:val="clear" w:color="auto" w:fill="FFF4E7"/>
            <w:tcMar>
              <w:top w:w="72" w:type="dxa"/>
              <w:left w:w="144" w:type="dxa"/>
              <w:bottom w:w="72" w:type="dxa"/>
              <w:right w:w="144" w:type="dxa"/>
            </w:tcMar>
          </w:tcPr>
          <w:p w:rsidR="00C412AA" w:rsidRPr="00040A18" w:rsidRDefault="000A3EAC">
            <w:pPr>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Mosha</w:t>
            </w:r>
          </w:p>
        </w:tc>
        <w:tc>
          <w:tcPr>
            <w:tcW w:w="5670" w:type="dxa"/>
            <w:tcBorders>
              <w:top w:val="single" w:sz="8" w:space="0" w:color="FFC000"/>
              <w:left w:val="single" w:sz="8" w:space="0" w:color="FFC000"/>
              <w:bottom w:val="single" w:sz="8" w:space="0" w:color="FFC000"/>
              <w:right w:val="single" w:sz="8" w:space="0" w:color="FFC000"/>
            </w:tcBorders>
            <w:shd w:val="clear" w:color="auto" w:fill="FFF4E7"/>
            <w:tcMar>
              <w:top w:w="72" w:type="dxa"/>
              <w:left w:w="144" w:type="dxa"/>
              <w:bottom w:w="72" w:type="dxa"/>
              <w:right w:w="144" w:type="dxa"/>
            </w:tcMar>
          </w:tcPr>
          <w:p w:rsidR="00C412AA" w:rsidRPr="00040A18" w:rsidRDefault="000A3EAC">
            <w:pPr>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45 vjeç ose më pak</w:t>
            </w:r>
          </w:p>
        </w:tc>
      </w:tr>
      <w:tr w:rsidR="00040A18" w:rsidRPr="00040A18">
        <w:trPr>
          <w:trHeight w:val="288"/>
        </w:trPr>
        <w:tc>
          <w:tcPr>
            <w:tcW w:w="4220" w:type="dxa"/>
            <w:tcBorders>
              <w:top w:val="single" w:sz="8" w:space="0" w:color="FFC000"/>
              <w:left w:val="single" w:sz="8" w:space="0" w:color="FFC000"/>
              <w:bottom w:val="single" w:sz="8" w:space="0" w:color="FFC000"/>
              <w:right w:val="single" w:sz="8" w:space="0" w:color="FFC000"/>
            </w:tcBorders>
            <w:shd w:val="clear" w:color="auto" w:fill="FFE8CB"/>
            <w:tcMar>
              <w:top w:w="72" w:type="dxa"/>
              <w:left w:w="144" w:type="dxa"/>
              <w:bottom w:w="72" w:type="dxa"/>
              <w:right w:w="144" w:type="dxa"/>
            </w:tcMar>
          </w:tcPr>
          <w:p w:rsidR="00C412AA" w:rsidRPr="00040A18" w:rsidRDefault="000A3EAC">
            <w:pPr>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Indeksi i masës trupore</w:t>
            </w:r>
          </w:p>
        </w:tc>
        <w:tc>
          <w:tcPr>
            <w:tcW w:w="5670" w:type="dxa"/>
            <w:tcBorders>
              <w:top w:val="single" w:sz="8" w:space="0" w:color="FFC000"/>
              <w:left w:val="single" w:sz="8" w:space="0" w:color="FFC000"/>
              <w:bottom w:val="single" w:sz="8" w:space="0" w:color="FFC000"/>
              <w:right w:val="single" w:sz="8" w:space="0" w:color="FFC000"/>
            </w:tcBorders>
            <w:shd w:val="clear" w:color="auto" w:fill="FFE8CB"/>
            <w:tcMar>
              <w:top w:w="72" w:type="dxa"/>
              <w:left w:w="144" w:type="dxa"/>
              <w:bottom w:w="72" w:type="dxa"/>
              <w:right w:w="144" w:type="dxa"/>
            </w:tcMar>
          </w:tcPr>
          <w:p w:rsidR="00C412AA" w:rsidRPr="00040A18" w:rsidRDefault="000A3EAC">
            <w:pPr>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35 ose më pak</w:t>
            </w:r>
          </w:p>
        </w:tc>
      </w:tr>
      <w:tr w:rsidR="00040A18" w:rsidRPr="00040A18">
        <w:trPr>
          <w:trHeight w:val="288"/>
        </w:trPr>
        <w:tc>
          <w:tcPr>
            <w:tcW w:w="4220" w:type="dxa"/>
            <w:tcBorders>
              <w:top w:val="single" w:sz="8" w:space="0" w:color="FFC000"/>
              <w:left w:val="single" w:sz="8" w:space="0" w:color="FFC000"/>
              <w:bottom w:val="single" w:sz="8" w:space="0" w:color="FFC000"/>
              <w:right w:val="single" w:sz="8" w:space="0" w:color="FFC000"/>
            </w:tcBorders>
            <w:shd w:val="clear" w:color="auto" w:fill="FFF4E7"/>
            <w:tcMar>
              <w:top w:w="72" w:type="dxa"/>
              <w:left w:w="144" w:type="dxa"/>
              <w:bottom w:w="72" w:type="dxa"/>
              <w:right w:w="144" w:type="dxa"/>
            </w:tcMar>
          </w:tcPr>
          <w:p w:rsidR="00C412AA" w:rsidRPr="00040A18" w:rsidRDefault="000A3EAC">
            <w:pPr>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AMH</w:t>
            </w:r>
          </w:p>
        </w:tc>
        <w:tc>
          <w:tcPr>
            <w:tcW w:w="5670" w:type="dxa"/>
            <w:tcBorders>
              <w:top w:val="single" w:sz="8" w:space="0" w:color="FFC000"/>
              <w:left w:val="single" w:sz="8" w:space="0" w:color="FFC000"/>
              <w:bottom w:val="single" w:sz="8" w:space="0" w:color="FFC000"/>
              <w:right w:val="single" w:sz="8" w:space="0" w:color="FFC000"/>
            </w:tcBorders>
            <w:shd w:val="clear" w:color="auto" w:fill="FFF4E7"/>
            <w:tcMar>
              <w:top w:w="72" w:type="dxa"/>
              <w:left w:w="144" w:type="dxa"/>
              <w:bottom w:w="72" w:type="dxa"/>
              <w:right w:w="144" w:type="dxa"/>
            </w:tcMar>
          </w:tcPr>
          <w:p w:rsidR="00C412AA" w:rsidRPr="00040A18" w:rsidRDefault="000A3EAC">
            <w:pPr>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&gt;0.5 ng/ml</w:t>
            </w:r>
          </w:p>
        </w:tc>
      </w:tr>
      <w:tr w:rsidR="00040A18" w:rsidRPr="00040A18">
        <w:trPr>
          <w:trHeight w:val="288"/>
        </w:trPr>
        <w:tc>
          <w:tcPr>
            <w:tcW w:w="4220" w:type="dxa"/>
            <w:tcBorders>
              <w:top w:val="single" w:sz="8" w:space="0" w:color="FFC000"/>
              <w:left w:val="single" w:sz="8" w:space="0" w:color="FFC000"/>
              <w:bottom w:val="single" w:sz="8" w:space="0" w:color="FFC000"/>
              <w:right w:val="single" w:sz="8" w:space="0" w:color="FFC000"/>
            </w:tcBorders>
            <w:shd w:val="clear" w:color="auto" w:fill="FFE8CB"/>
            <w:tcMar>
              <w:top w:w="72" w:type="dxa"/>
              <w:left w:w="144" w:type="dxa"/>
              <w:bottom w:w="72" w:type="dxa"/>
              <w:right w:w="144" w:type="dxa"/>
            </w:tcMar>
          </w:tcPr>
          <w:p w:rsidR="00C412AA" w:rsidRPr="00040A18" w:rsidRDefault="000A3EAC">
            <w:pPr>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FSH</w:t>
            </w:r>
          </w:p>
        </w:tc>
        <w:tc>
          <w:tcPr>
            <w:tcW w:w="5670" w:type="dxa"/>
            <w:tcBorders>
              <w:top w:val="single" w:sz="8" w:space="0" w:color="FFC000"/>
              <w:left w:val="single" w:sz="8" w:space="0" w:color="FFC000"/>
              <w:bottom w:val="single" w:sz="8" w:space="0" w:color="FFC000"/>
              <w:right w:val="single" w:sz="8" w:space="0" w:color="FFC000"/>
            </w:tcBorders>
            <w:shd w:val="clear" w:color="auto" w:fill="FFE8CB"/>
            <w:tcMar>
              <w:top w:w="72" w:type="dxa"/>
              <w:left w:w="144" w:type="dxa"/>
              <w:bottom w:w="72" w:type="dxa"/>
              <w:right w:w="144" w:type="dxa"/>
            </w:tcMar>
          </w:tcPr>
          <w:p w:rsidR="00C412AA" w:rsidRPr="00040A18" w:rsidRDefault="000A3EAC">
            <w:pPr>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&lt;15 IU/L</w:t>
            </w:r>
          </w:p>
        </w:tc>
      </w:tr>
      <w:tr w:rsidR="00040A18" w:rsidRPr="00040A18">
        <w:trPr>
          <w:trHeight w:val="288"/>
        </w:trPr>
        <w:tc>
          <w:tcPr>
            <w:tcW w:w="4220" w:type="dxa"/>
            <w:tcBorders>
              <w:top w:val="single" w:sz="8" w:space="0" w:color="FFC000"/>
              <w:left w:val="single" w:sz="8" w:space="0" w:color="FFC000"/>
              <w:bottom w:val="single" w:sz="8" w:space="0" w:color="FFC000"/>
              <w:right w:val="single" w:sz="8" w:space="0" w:color="FFC000"/>
            </w:tcBorders>
            <w:shd w:val="clear" w:color="auto" w:fill="FFF4E7"/>
            <w:tcMar>
              <w:top w:w="72" w:type="dxa"/>
              <w:left w:w="144" w:type="dxa"/>
              <w:bottom w:w="72" w:type="dxa"/>
              <w:right w:w="144" w:type="dxa"/>
            </w:tcMar>
          </w:tcPr>
          <w:p w:rsidR="00C412AA" w:rsidRPr="00040A18" w:rsidRDefault="000A3EAC">
            <w:pPr>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Kaviteti i mitrës</w:t>
            </w:r>
          </w:p>
        </w:tc>
        <w:tc>
          <w:tcPr>
            <w:tcW w:w="5670" w:type="dxa"/>
            <w:tcBorders>
              <w:top w:val="single" w:sz="8" w:space="0" w:color="FFC000"/>
              <w:left w:val="single" w:sz="8" w:space="0" w:color="FFC000"/>
              <w:bottom w:val="single" w:sz="8" w:space="0" w:color="FFC000"/>
              <w:right w:val="single" w:sz="8" w:space="0" w:color="FFC000"/>
            </w:tcBorders>
            <w:shd w:val="clear" w:color="auto" w:fill="FFF4E7"/>
            <w:tcMar>
              <w:top w:w="72" w:type="dxa"/>
              <w:left w:w="144" w:type="dxa"/>
              <w:bottom w:w="72" w:type="dxa"/>
              <w:right w:w="144" w:type="dxa"/>
            </w:tcMar>
          </w:tcPr>
          <w:p w:rsidR="00C412AA" w:rsidRPr="00040A18" w:rsidRDefault="000A3EAC">
            <w:pPr>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Normale (ose e korrigjuar në mënyrë kirurgjikale nëse ka pasur polip/septum)</w:t>
            </w:r>
          </w:p>
        </w:tc>
      </w:tr>
    </w:tbl>
    <w:p w:rsidR="00C412AA" w:rsidRPr="00040A18" w:rsidRDefault="000A3EAC">
      <w:pPr>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Tabela 1. Kriteret e pranueshmërisë per FAM: duke përdorur qelizat vetanake femërore</w:t>
      </w:r>
    </w:p>
    <w:p w:rsidR="00C412AA" w:rsidRPr="00040A18" w:rsidRDefault="00C412AA">
      <w:pPr>
        <w:spacing w:after="160" w:line="259" w:lineRule="auto"/>
        <w:jc w:val="both"/>
        <w:rPr>
          <w:rFonts w:ascii="Book Antiqua" w:eastAsia="Book Antiqua" w:hAnsi="Book Antiqua" w:cs="Book Antiqua"/>
          <w:color w:val="000000" w:themeColor="text1"/>
          <w:sz w:val="28"/>
          <w:szCs w:val="28"/>
        </w:rPr>
      </w:pPr>
    </w:p>
    <w:p w:rsidR="00C412AA" w:rsidRPr="00040A18" w:rsidRDefault="000A3EAC">
      <w:pPr>
        <w:spacing w:after="160" w:line="259"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Procedurat që kryhen dhe pacientët do të regjistrohen në databazën e cila duhet t</w:t>
      </w:r>
      <w:r w:rsidRPr="00040A18">
        <w:rPr>
          <w:rFonts w:ascii="Calibri" w:eastAsia="Calibri" w:hAnsi="Calibri" w:cs="Calibri"/>
          <w:color w:val="000000" w:themeColor="text1"/>
          <w:sz w:val="22"/>
          <w:szCs w:val="22"/>
        </w:rPr>
        <w:t>ë</w:t>
      </w:r>
      <w:r w:rsidRPr="00040A18">
        <w:rPr>
          <w:rFonts w:ascii="Book Antiqua" w:eastAsia="Book Antiqua" w:hAnsi="Book Antiqua" w:cs="Book Antiqua"/>
          <w:color w:val="000000" w:themeColor="text1"/>
          <w:sz w:val="22"/>
          <w:szCs w:val="22"/>
        </w:rPr>
        <w:t xml:space="preserve"> jetë e integruar në SISh të dhënat do të ruhen në formë digjitale dhe fizike. Qelizat dhe embrionet do të ruhen </w:t>
      </w:r>
      <w:r w:rsidRPr="00040A18">
        <w:rPr>
          <w:rFonts w:ascii="Book Antiqua" w:eastAsia="Book Antiqua" w:hAnsi="Book Antiqua" w:cs="Book Antiqua"/>
          <w:color w:val="000000" w:themeColor="text1"/>
          <w:sz w:val="22"/>
          <w:szCs w:val="22"/>
        </w:rPr>
        <w:lastRenderedPageBreak/>
        <w:t>deri në pesë vjet (sipas dispozitave ligjore) përveç nëse çiftet vendosin për ruajtje në periudhë kohore më të gjatë sipas dispozitave ligjore.</w:t>
      </w: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Qëllimi i funksionalizimit të njësisë së FAM është ofrimi i këtyre shërbimeve për çiftet të cilat nuk mund të arrijnë shtatëzaninë me rrugë natyrale. Përkundër asaj që popullata në Kosovë është relativisht e re, infertiliteti bashkëshortor është në rritje e sipër në gjithë botën dhe shkakton trauma psiko-sociale dhe ngarkesë financiare të konsiderueshme. Fatkeqësisht për shkak se çiftet me infertilitet nuk kanë qenë prioritet dhe ka ekzistuar një paragjykim se duhen investime shumë të mëdha për të realizuar këtëshërbim. Përderisa tani KOGJ disponon me hapësirë të renovuar plotësisht sipas standardeve dhe staf të kualifikuar i cili mund të ofrojë shërbime bashkëkohore me kosto të arsyeshme.</w:t>
      </w:r>
    </w:p>
    <w:p w:rsidR="00C412AA" w:rsidRPr="00040A18" w:rsidRDefault="00C412AA">
      <w:pPr>
        <w:jc w:val="both"/>
        <w:rPr>
          <w:rFonts w:ascii="Book Antiqua" w:eastAsia="Book Antiqua" w:hAnsi="Book Antiqua" w:cs="Book Antiqua"/>
          <w:color w:val="000000" w:themeColor="text1"/>
        </w:rPr>
      </w:pPr>
    </w:p>
    <w:p w:rsidR="00C412AA" w:rsidRPr="00040A18" w:rsidRDefault="000A3EAC">
      <w:pPr>
        <w:spacing w:after="160" w:line="259"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Metodat dhe teknika e FAM-it përfshijnë:</w:t>
      </w:r>
    </w:p>
    <w:p w:rsidR="00C412AA" w:rsidRPr="00040A18" w:rsidRDefault="000A3EAC">
      <w:pPr>
        <w:numPr>
          <w:ilvl w:val="0"/>
          <w:numId w:val="11"/>
        </w:numPr>
        <w:spacing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Stimulimi i vezoreve</w:t>
      </w:r>
    </w:p>
    <w:p w:rsidR="00C412AA" w:rsidRPr="00040A18" w:rsidRDefault="000A3EAC">
      <w:pPr>
        <w:numPr>
          <w:ilvl w:val="0"/>
          <w:numId w:val="11"/>
        </w:numPr>
        <w:spacing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Insminimin intrauterine</w:t>
      </w:r>
    </w:p>
    <w:p w:rsidR="00C412AA" w:rsidRPr="00040A18" w:rsidRDefault="000A3EAC">
      <w:pPr>
        <w:numPr>
          <w:ilvl w:val="0"/>
          <w:numId w:val="11"/>
        </w:numPr>
        <w:spacing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Aspirimi i qelizave vezë (OPU)</w:t>
      </w:r>
    </w:p>
    <w:p w:rsidR="00C412AA" w:rsidRPr="00040A18" w:rsidRDefault="000A3EAC">
      <w:pPr>
        <w:numPr>
          <w:ilvl w:val="0"/>
          <w:numId w:val="11"/>
        </w:numPr>
        <w:spacing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In vitro fertilizimin</w:t>
      </w:r>
    </w:p>
    <w:p w:rsidR="00C412AA" w:rsidRPr="00040A18" w:rsidRDefault="000A3EAC">
      <w:pPr>
        <w:numPr>
          <w:ilvl w:val="0"/>
          <w:numId w:val="11"/>
        </w:numPr>
        <w:spacing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Injektimin intracitoplazmatik të spermës (ICSI)</w:t>
      </w:r>
    </w:p>
    <w:p w:rsidR="00C412AA" w:rsidRPr="00040A18" w:rsidRDefault="000A3EAC">
      <w:pPr>
        <w:numPr>
          <w:ilvl w:val="0"/>
          <w:numId w:val="11"/>
        </w:numPr>
        <w:spacing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Ruajtjen e qelizave riprodhuese, indeve riprodhuese dhe embrioneve.</w:t>
      </w:r>
    </w:p>
    <w:p w:rsidR="00C412AA" w:rsidRPr="00040A18" w:rsidRDefault="000A3EAC">
      <w:pPr>
        <w:numPr>
          <w:ilvl w:val="0"/>
          <w:numId w:val="11"/>
        </w:numPr>
        <w:spacing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In vitro maturimin i qelizave vezë</w:t>
      </w:r>
    </w:p>
    <w:p w:rsidR="00C412AA" w:rsidRPr="00040A18" w:rsidRDefault="000A3EAC">
      <w:pPr>
        <w:numPr>
          <w:ilvl w:val="0"/>
          <w:numId w:val="11"/>
        </w:numPr>
        <w:spacing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 xml:space="preserve">Transferimin e embrioneve në miter </w:t>
      </w:r>
    </w:p>
    <w:p w:rsidR="00C412AA" w:rsidRPr="00040A18" w:rsidRDefault="000A3EAC">
      <w:pPr>
        <w:numPr>
          <w:ilvl w:val="0"/>
          <w:numId w:val="2"/>
        </w:numPr>
        <w:spacing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Biopsia e testiseve, TESA, TESE si dhe konservimi i indeve nga vezoret dhe testisët</w:t>
      </w:r>
    </w:p>
    <w:p w:rsidR="00C412AA" w:rsidRPr="00040A18" w:rsidRDefault="000A3EAC">
      <w:pPr>
        <w:numPr>
          <w:ilvl w:val="0"/>
          <w:numId w:val="2"/>
        </w:numPr>
        <w:spacing w:after="160" w:line="259" w:lineRule="auto"/>
        <w:jc w:val="both"/>
        <w:rPr>
          <w:color w:val="000000" w:themeColor="text1"/>
          <w:sz w:val="22"/>
          <w:szCs w:val="22"/>
        </w:rPr>
      </w:pPr>
      <w:r w:rsidRPr="00040A18">
        <w:rPr>
          <w:rFonts w:ascii="Book Antiqua" w:eastAsia="Book Antiqua" w:hAnsi="Book Antiqua" w:cs="Book Antiqua"/>
          <w:color w:val="000000" w:themeColor="text1"/>
          <w:sz w:val="22"/>
          <w:szCs w:val="22"/>
        </w:rPr>
        <w:t>Teknikat tjera të bazuara në avansime shkencore dhe të aprovuara nga organizatat relevante.</w:t>
      </w:r>
    </w:p>
    <w:p w:rsidR="00C412AA" w:rsidRPr="00040A18" w:rsidRDefault="00C412AA">
      <w:pPr>
        <w:spacing w:after="160" w:line="259" w:lineRule="auto"/>
        <w:jc w:val="both"/>
        <w:rPr>
          <w:rFonts w:ascii="Book Antiqua" w:eastAsia="Book Antiqua" w:hAnsi="Book Antiqua" w:cs="Book Antiqua"/>
          <w:color w:val="000000" w:themeColor="text1"/>
          <w:sz w:val="22"/>
          <w:szCs w:val="22"/>
        </w:rPr>
      </w:pPr>
    </w:p>
    <w:p w:rsidR="00C412AA" w:rsidRPr="00040A18" w:rsidRDefault="00D93A27">
      <w:pPr>
        <w:spacing w:after="160" w:line="259"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Rrethanat aktuale janë</w:t>
      </w:r>
      <w:r w:rsidR="000A3EAC" w:rsidRPr="00040A18">
        <w:rPr>
          <w:rFonts w:ascii="Book Antiqua" w:eastAsia="Book Antiqua" w:hAnsi="Book Antiqua" w:cs="Book Antiqua"/>
          <w:color w:val="000000" w:themeColor="text1"/>
          <w:sz w:val="22"/>
          <w:szCs w:val="22"/>
        </w:rPr>
        <w:t xml:space="preserve"> si vijon:</w:t>
      </w: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Sipas të dhënave me të cilat disponon Komisioni për FAM në kuadër të Ministrisë së Shëndetësisë, për periudhën Janar 2016 - Qershor 2022, në 8 institucione private të licencuara, trajtim kanë marrë 7, 224 raste. Numri real iështë akoma më i lartë për arsye që raste të shumta shërbimin e kërkojnë jashtë vendit dhe nuk raportohen.</w:t>
      </w:r>
    </w:p>
    <w:p w:rsidR="00C412AA" w:rsidRPr="00040A18" w:rsidRDefault="000A3EAC">
      <w:pPr>
        <w:spacing w:before="240"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Kostoja mesatare e shërbimit të FAM në Kosovë për një çift, për një cikël, duke përfshirë trajtimin medikamentoz dhe analizat laboratorike, vlerësohet rreth 3,000-4000 €. Duke llogaritur vetëm numrin e rasteve të raportuara në KFAM, për periudhën 2016 – 2022 janë shpenzuar 21.672.000 - 28.896.000 €, d.t.th mesatarisht janë shpenzuar mbi 4 milion euro për 1200 persona për vit. Kosto e lartëshënuar nuk përfshinë pacientët që kryejnë këto shërbime jashtë vendit, për çka nuk posedojmë të dhëna.</w:t>
      </w: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Kostot e shërbimeve të FAM në Kosovë janë të përafërta me ato të vendeve të BE-së. Dallimi kryesor qëndron në atë se në Kosovë barrën e ka çifti, derisa në vendet evropiane kostot i bartë, </w:t>
      </w:r>
      <w:r w:rsidRPr="00040A18">
        <w:rPr>
          <w:rFonts w:ascii="Book Antiqua" w:eastAsia="Book Antiqua" w:hAnsi="Book Antiqua" w:cs="Book Antiqua"/>
          <w:color w:val="000000" w:themeColor="text1"/>
          <w:sz w:val="22"/>
          <w:szCs w:val="22"/>
        </w:rPr>
        <w:lastRenderedPageBreak/>
        <w:t>plotësisht apo pjesërisht, sigurimi shëndetësor. Në bazë të kësaj është e arsyeshme që trajtimi i infertilitetit të përfshihet në pakot e sigurimeve shëndetësore edhe në Kosovë.</w:t>
      </w:r>
    </w:p>
    <w:p w:rsidR="00C412AA" w:rsidRPr="00040A18" w:rsidRDefault="000A3EAC">
      <w:pPr>
        <w:spacing w:before="240"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Edhe në vendet e BE-së çmimet e trajtimit janë të përafërta me vendin tonë, variojnë nga 2,700 € në Poloni deri në 6,000 € në Mbretërinë e Bashkuar</w:t>
      </w:r>
      <w:r w:rsidRPr="00040A18">
        <w:rPr>
          <w:rFonts w:ascii="Book Antiqua" w:eastAsia="Book Antiqua" w:hAnsi="Book Antiqua" w:cs="Book Antiqua"/>
          <w:color w:val="000000" w:themeColor="text1"/>
          <w:sz w:val="22"/>
          <w:szCs w:val="22"/>
          <w:vertAlign w:val="superscript"/>
        </w:rPr>
        <w:footnoteReference w:id="11"/>
      </w:r>
      <w:r w:rsidRPr="00040A18">
        <w:rPr>
          <w:rFonts w:ascii="Book Antiqua" w:eastAsia="Book Antiqua" w:hAnsi="Book Antiqua" w:cs="Book Antiqua"/>
          <w:color w:val="000000" w:themeColor="text1"/>
          <w:sz w:val="22"/>
          <w:szCs w:val="22"/>
        </w:rPr>
        <w:t>. Kostot e një trajtimi IVF duke përdorur vezët e një pacienti ndryshojnë shumë midis vendeve - nga 2,500 € në destinacionet më të lira si India, deri në një mesatare prej 4,500 € në Evropë dhe deri në 15,000 € në Shtetet e Bashkuara. Programet e dhurimit të vezëve janë edhe më të shtrenjta – rreth 3,500 € në Indi, 6,000 € në Evropë dhe deri në 30,000 € në Shtetet e Bashkuara.</w:t>
      </w:r>
      <w:r w:rsidRPr="00040A18">
        <w:rPr>
          <w:rFonts w:ascii="Book Antiqua" w:eastAsia="Book Antiqua" w:hAnsi="Book Antiqua" w:cs="Book Antiqua"/>
          <w:color w:val="000000" w:themeColor="text1"/>
          <w:sz w:val="22"/>
          <w:szCs w:val="22"/>
          <w:vertAlign w:val="superscript"/>
        </w:rPr>
        <w:footnoteReference w:id="12"/>
      </w:r>
    </w:p>
    <w:p w:rsidR="00C412AA" w:rsidRPr="00040A18" w:rsidRDefault="000A3EAC">
      <w:pPr>
        <w:spacing w:before="240"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Shumica e shteteve ofrojnë mbulim të shpenzimeve përmes sigurimeve shëndetësore të organizuara nga shteti, në disa prej tyre edhe sigurimet shëndetësore private janë të detyruara të mbulojnë këto shpenzime</w:t>
      </w:r>
      <w:r w:rsidRPr="00040A18">
        <w:rPr>
          <w:rFonts w:ascii="Book Antiqua" w:eastAsia="Book Antiqua" w:hAnsi="Book Antiqua" w:cs="Book Antiqua"/>
          <w:color w:val="000000" w:themeColor="text1"/>
          <w:sz w:val="22"/>
          <w:szCs w:val="22"/>
          <w:vertAlign w:val="superscript"/>
        </w:rPr>
        <w:footnoteReference w:id="13"/>
      </w:r>
      <w:r w:rsidRPr="00040A18">
        <w:rPr>
          <w:rFonts w:ascii="Book Antiqua" w:eastAsia="Book Antiqua" w:hAnsi="Book Antiqua" w:cs="Book Antiqua"/>
          <w:color w:val="000000" w:themeColor="text1"/>
          <w:sz w:val="22"/>
          <w:szCs w:val="22"/>
        </w:rPr>
        <w:t>.</w:t>
      </w:r>
    </w:p>
    <w:p w:rsidR="00C412AA" w:rsidRPr="00040A18" w:rsidRDefault="000A3EAC">
      <w:pPr>
        <w:shd w:val="clear" w:color="auto" w:fill="FFFFFF"/>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Derisa përparimet në FAM kanë rafinuar teknologjinë për trajtimin e femrave dhe mashkujve me probleme të infertilitetit, femrat me dështim prematur të ovareve (mungesë e oociteve), femrat me moshë të avancuar dhe mashkujt azoospermik (mungesë e spermatozoideve) nuk kanë trajtime efektive me këto teknika dhe në këtë mënyrë është e nevojshme përdorimi i qelizave gjinore të dhuruara nga donatorët (dhuruesit). Duke e parë të nevojshëm trajtimin edhe të çifteve me këto probleme në vendin tonë, dhe për të iu mundësuar një trajtim të sigurtë dhe dinjitoz me qeliza të dhuruara është më se i nevojshëm edhe themelimi i Bankës së Qelizave Gjinore ku do të deponohen qelizat gjinore, të dhuruara nga dhuruesit vullnetarë të cilët paraprakisht do të testohen sipas Direktivave të BE-së. </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Bazuar në konkluzat nga raporti final i Parlamentit Evropian (publikuar në vitin 2008), në vitin 2004, një gamë e gjerë e kërkesave ligjore për cilësi dhe siguri për dhurimin, prokurimin, testimin, përpunimin, ruajtjen, dhe shpërndarjen e indeve dhe qelizave u prezantua nga Parlamenti Evropian dhe Këshilli me fillimin e Direktivës 2004/23/EC1.</w:t>
      </w:r>
      <w:r w:rsidRPr="00040A18">
        <w:rPr>
          <w:rFonts w:ascii="Book Antiqua" w:eastAsia="Book Antiqua" w:hAnsi="Book Antiqua" w:cs="Book Antiqua"/>
          <w:color w:val="000000" w:themeColor="text1"/>
          <w:sz w:val="22"/>
          <w:szCs w:val="22"/>
          <w:vertAlign w:val="superscript"/>
        </w:rPr>
        <w:footnoteReference w:id="14"/>
      </w:r>
      <w:r w:rsidRPr="00040A18">
        <w:rPr>
          <w:rFonts w:ascii="Book Antiqua" w:eastAsia="Book Antiqua" w:hAnsi="Book Antiqua" w:cs="Book Antiqua"/>
          <w:color w:val="000000" w:themeColor="text1"/>
          <w:sz w:val="22"/>
          <w:szCs w:val="22"/>
        </w:rPr>
        <w:t xml:space="preserve"> Implementimi i kësaj Direktive kërkohet në 27 Shtetet Anëtare të BE-së, të specializuara në FAM (MAR - Medically Assisted Reproductive).</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vertAlign w:val="superscript"/>
        </w:rPr>
      </w:pPr>
      <w:r w:rsidRPr="00040A18">
        <w:rPr>
          <w:rFonts w:ascii="Book Antiqua" w:eastAsia="Book Antiqua" w:hAnsi="Book Antiqua" w:cs="Book Antiqua"/>
          <w:color w:val="000000" w:themeColor="text1"/>
          <w:sz w:val="22"/>
          <w:szCs w:val="22"/>
        </w:rPr>
        <w:t xml:space="preserve">Për shkak të shtrirjes së gjerë të Direktivës në krahasim me natyrën e tij shumë specifike, trajtimet e FAM që përfshijnë procedura të shumta të përsëritura mbi të njëjtin pacient, paraqesin sfidë në kuadër të kësaj fushe. Bazuar në këtë informacion, ESHRE (European Society of Human </w:t>
      </w:r>
      <w:r w:rsidRPr="00040A18">
        <w:rPr>
          <w:rFonts w:ascii="Book Antiqua" w:eastAsia="Book Antiqua" w:hAnsi="Book Antiqua" w:cs="Book Antiqua"/>
          <w:color w:val="000000" w:themeColor="text1"/>
          <w:sz w:val="22"/>
          <w:szCs w:val="22"/>
        </w:rPr>
        <w:lastRenderedPageBreak/>
        <w:t>Reproduction and Embryology) botoi një dokument në vitin 2007 që përshkruan çështjet dhe nismat e reja mbi cilësinë dhe sigurinë në trajtimin e FAM.</w:t>
      </w:r>
      <w:r w:rsidRPr="00040A18">
        <w:rPr>
          <w:rFonts w:ascii="Book Antiqua" w:eastAsia="Book Antiqua" w:hAnsi="Book Antiqua" w:cs="Book Antiqua"/>
          <w:color w:val="000000" w:themeColor="text1"/>
          <w:sz w:val="22"/>
          <w:szCs w:val="22"/>
          <w:vertAlign w:val="superscript"/>
        </w:rPr>
        <w:footnoteReference w:id="15"/>
      </w:r>
    </w:p>
    <w:p w:rsidR="00C412AA" w:rsidRPr="00040A18" w:rsidRDefault="00C412AA">
      <w:pPr>
        <w:spacing w:line="276" w:lineRule="auto"/>
        <w:jc w:val="both"/>
        <w:rPr>
          <w:rFonts w:ascii="Book Antiqua" w:eastAsia="Book Antiqua" w:hAnsi="Book Antiqua" w:cs="Book Antiqua"/>
          <w:color w:val="000000" w:themeColor="text1"/>
          <w:sz w:val="22"/>
          <w:szCs w:val="22"/>
          <w:vertAlign w:val="superscript"/>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Në hulumtimet e bëra nga BE në bashkëpunim me ESHRE, konkludohet se 25 nga 27 shtetet anëtare të BE-së kanë implementuar zbatimin e Direktivës për indet dhe qelizat e BE-së (Direktiva 2004/23/EC), e cila ndërlidhet gjithashtu me këtë fushë.</w:t>
      </w:r>
    </w:p>
    <w:p w:rsidR="00C412AA" w:rsidRPr="00040A18" w:rsidRDefault="000A3EAC">
      <w:pPr>
        <w:spacing w:before="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Vendet pa legjislacion specifik për FAM raportojnë se kanë zbatuar legjislacionin e përgjithshëm të trajtimit të kësaj fushe. Në 11 nga 27 shtetet anëtare të BE-së, zbatimi i legjislacionit për FAM rezulton transpozimi (përafrimi) i EUTCD (European Tissues and Cells Directive).</w:t>
      </w:r>
    </w:p>
    <w:p w:rsidR="00C412AA" w:rsidRPr="00040A18" w:rsidRDefault="00C412AA">
      <w:pPr>
        <w:spacing w:before="240" w:line="276" w:lineRule="auto"/>
        <w:jc w:val="both"/>
        <w:rPr>
          <w:rFonts w:ascii="Book Antiqua" w:eastAsia="Book Antiqua" w:hAnsi="Book Antiqua" w:cs="Book Antiqua"/>
          <w:color w:val="000000" w:themeColor="text1"/>
          <w:sz w:val="22"/>
          <w:szCs w:val="22"/>
        </w:rPr>
      </w:pPr>
    </w:p>
    <w:p w:rsidR="00C412AA" w:rsidRPr="00040A18" w:rsidRDefault="000A3EAC">
      <w:pPr>
        <w:spacing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Regjistrat kombëtar dhe bankat e qelizave për mbledhjen e veprimtarive klinike ekzistojnë në më shumë se 20 vende. Dhurimi i gameteve rregullohet me ligj në shumicën e vendeve. Përveç pengesave financiare, në vende të ndryshme, ekzistojnë kritere të pranueshmërisë për përfshirjen e pacientëve në programet e FAM. Kriteret e pranueshmërisë për rimbursim përfshijnë moshën, statusin martesor, fëmijët e mëparshëm, përdorimi i gametave të donatorëve, lloji i ofruesit të shërbimit (d.m.th., klinika publike ose private). Nga këto, statusi martesor dhe mosha maksimale e nënës  janë kufizimet më të zakonshme në qasjen në teknikate FAM. Është e qartë se pothuajse të gjitha shtetet anëtare të BE-së kanë një skemë rimbursimi dhe se shumica kanë një buxhet vjetor fiks, jo të adaptueshëm për trajtimet e FAM. Sidoqoftë, për shumë vende nuk është e qartë se cilat argumente janë përdorur për të vendosur për një politikë kufizuese, por arsyeja e mundshme për një politikë të tillë përfshin koston, efikasitetin dhe sigurinë. Disa vende, si Spanja, sigurojnë mbulim të plotë. Në vendet e tjera jo të gjitha gratë që kanë problem me fertilitet kanë të drejtë për rimbursim. Në Irlandë skemat e rimbursimit janë pothuajse jo-ekzistente. Në disa vende merren në konsideratë rrethana demografike, sociale ose ekonomike, përderisa në vende të tjera e drejta për të hyrë në trajtimin e infertilitetit nuk do të thotë domosdoshmërisht se ekziston gjithashtu një e drejtë në financimin publik të këtij trajtimi të infertilitetit, pasi që mos pagimi nuk përbën shkelje të asaj të drejte.</w:t>
      </w:r>
    </w:p>
    <w:p w:rsidR="00C412AA" w:rsidRPr="00040A18" w:rsidRDefault="000A3EAC">
      <w:pPr>
        <w:pStyle w:val="Heading4"/>
        <w:tabs>
          <w:tab w:val="left" w:pos="815"/>
          <w:tab w:val="left" w:pos="816"/>
        </w:tabs>
        <w:spacing w:before="69" w:line="278" w:lineRule="auto"/>
        <w:ind w:left="118" w:right="394" w:hanging="118"/>
        <w:jc w:val="center"/>
        <w:rPr>
          <w:rFonts w:ascii="Book Antiqua" w:eastAsia="Book Antiqua" w:hAnsi="Book Antiqua" w:cs="Book Antiqua"/>
          <w:b w:val="0"/>
          <w:color w:val="000000" w:themeColor="text1"/>
          <w:sz w:val="22"/>
          <w:szCs w:val="22"/>
        </w:rPr>
      </w:pPr>
      <w:r w:rsidRPr="00040A18">
        <w:rPr>
          <w:rFonts w:ascii="Book Antiqua" w:eastAsia="Book Antiqua" w:hAnsi="Book Antiqua" w:cs="Book Antiqua"/>
          <w:color w:val="000000" w:themeColor="text1"/>
          <w:sz w:val="22"/>
          <w:szCs w:val="22"/>
        </w:rPr>
        <w:lastRenderedPageBreak/>
        <w:t>Figura. 1</w:t>
      </w:r>
      <w:r w:rsidRPr="00040A18">
        <w:rPr>
          <w:rFonts w:ascii="Book Antiqua" w:eastAsia="Book Antiqua" w:hAnsi="Book Antiqua" w:cs="Book Antiqua"/>
          <w:b w:val="0"/>
          <w:color w:val="000000" w:themeColor="text1"/>
          <w:sz w:val="22"/>
          <w:szCs w:val="22"/>
        </w:rPr>
        <w:t>. Analiza e skemës së rimbursimit në 27 shtetet e BE-së për trajtimin e FAM it - buxheti publik ialokuar për shtetet anëtare të BE-së</w:t>
      </w:r>
    </w:p>
    <w:p w:rsidR="00C412AA" w:rsidRPr="00040A18" w:rsidRDefault="00F82B8B">
      <w:pPr>
        <w:widowControl w:val="0"/>
        <w:pBdr>
          <w:top w:val="nil"/>
          <w:left w:val="nil"/>
          <w:bottom w:val="nil"/>
          <w:right w:val="nil"/>
          <w:between w:val="nil"/>
        </w:pBdr>
        <w:spacing w:before="11"/>
        <w:jc w:val="both"/>
        <w:rPr>
          <w:rFonts w:ascii="Book Antiqua" w:eastAsia="Book Antiqua" w:hAnsi="Book Antiqua" w:cs="Book Antiqua"/>
          <w:color w:val="000000" w:themeColor="text1"/>
          <w:sz w:val="20"/>
          <w:szCs w:val="20"/>
        </w:rPr>
      </w:pPr>
      <w:r w:rsidRPr="00040A18">
        <w:rPr>
          <w:rFonts w:ascii="Book Antiqua" w:eastAsia="Book Antiqua" w:hAnsi="Book Antiqua" w:cs="Book Antiqua"/>
          <w:noProof/>
          <w:color w:val="000000" w:themeColor="text1"/>
          <w:sz w:val="20"/>
          <w:szCs w:val="20"/>
        </w:rPr>
        <w:drawing>
          <wp:inline distT="0" distB="0" distL="0" distR="0" wp14:anchorId="49A2949A" wp14:editId="7D2BA499">
            <wp:extent cx="5607586" cy="4896423"/>
            <wp:effectExtent l="0" t="0" r="0" b="0"/>
            <wp:docPr id="10" name="Picture 10" descr="C:\Users\Admin\Desktop\Harta FA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arta FAM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055" cy="4902945"/>
                    </a:xfrm>
                    <a:prstGeom prst="rect">
                      <a:avLst/>
                    </a:prstGeom>
                    <a:noFill/>
                    <a:ln>
                      <a:noFill/>
                    </a:ln>
                  </pic:spPr>
                </pic:pic>
              </a:graphicData>
            </a:graphic>
          </wp:inline>
        </w:drawing>
      </w:r>
    </w:p>
    <w:p w:rsidR="00C412AA" w:rsidRPr="00040A18" w:rsidRDefault="00C412AA">
      <w:pPr>
        <w:rPr>
          <w:color w:val="000000" w:themeColor="text1"/>
          <w:sz w:val="20"/>
          <w:szCs w:val="20"/>
        </w:rPr>
      </w:pPr>
    </w:p>
    <w:p w:rsidR="00C412AA" w:rsidRPr="00040A18" w:rsidRDefault="00C412AA">
      <w:pPr>
        <w:widowControl w:val="0"/>
        <w:pBdr>
          <w:top w:val="nil"/>
          <w:left w:val="nil"/>
          <w:bottom w:val="nil"/>
          <w:right w:val="nil"/>
          <w:between w:val="nil"/>
        </w:pBdr>
        <w:rPr>
          <w:rFonts w:ascii="Arial" w:eastAsia="Arial" w:hAnsi="Arial" w:cs="Arial"/>
          <w:b/>
          <w:color w:val="000000" w:themeColor="text1"/>
          <w:sz w:val="20"/>
          <w:szCs w:val="20"/>
        </w:rPr>
      </w:pPr>
    </w:p>
    <w:p w:rsidR="00C412AA" w:rsidRPr="00040A18" w:rsidRDefault="00C412AA">
      <w:pPr>
        <w:widowControl w:val="0"/>
        <w:pBdr>
          <w:top w:val="nil"/>
          <w:left w:val="nil"/>
          <w:bottom w:val="nil"/>
          <w:right w:val="nil"/>
          <w:between w:val="nil"/>
        </w:pBdr>
        <w:rPr>
          <w:rFonts w:ascii="Arial" w:eastAsia="Arial" w:hAnsi="Arial" w:cs="Arial"/>
          <w:b/>
          <w:color w:val="000000" w:themeColor="text1"/>
          <w:sz w:val="20"/>
          <w:szCs w:val="20"/>
        </w:rPr>
      </w:pPr>
    </w:p>
    <w:p w:rsidR="00C412AA" w:rsidRPr="00040A18" w:rsidRDefault="00C412AA">
      <w:pPr>
        <w:widowControl w:val="0"/>
        <w:pBdr>
          <w:top w:val="nil"/>
          <w:left w:val="nil"/>
          <w:bottom w:val="nil"/>
          <w:right w:val="nil"/>
          <w:between w:val="nil"/>
        </w:pBdr>
        <w:rPr>
          <w:rFonts w:ascii="Arial" w:eastAsia="Arial" w:hAnsi="Arial" w:cs="Arial"/>
          <w:b/>
          <w:color w:val="000000" w:themeColor="text1"/>
          <w:sz w:val="20"/>
          <w:szCs w:val="20"/>
        </w:rPr>
      </w:pPr>
    </w:p>
    <w:p w:rsidR="00C412AA" w:rsidRPr="00040A18" w:rsidRDefault="000A3EAC">
      <w:pPr>
        <w:spacing w:after="240" w:line="276" w:lineRule="auto"/>
        <w:jc w:val="both"/>
        <w:rPr>
          <w:rFonts w:ascii="Book Antiqua" w:eastAsia="Book Antiqua" w:hAnsi="Book Antiqua" w:cs="Book Antiqua"/>
          <w:b/>
          <w:color w:val="000000" w:themeColor="text1"/>
          <w:sz w:val="22"/>
          <w:szCs w:val="22"/>
        </w:rPr>
      </w:pPr>
      <w:r w:rsidRPr="00040A18">
        <w:rPr>
          <w:rFonts w:ascii="Book Antiqua" w:eastAsia="Book Antiqua" w:hAnsi="Book Antiqua" w:cs="Book Antiqua"/>
          <w:color w:val="000000" w:themeColor="text1"/>
          <w:sz w:val="22"/>
          <w:szCs w:val="22"/>
        </w:rPr>
        <w:t>FAM janë përgjegjëse për trajtim në vende të ndryshme si në institucionet shëndetësore publike ashtu edhe ato private. Informacioni është marrë kryesisht përmes Konsorciumit Evropian ESHRE IVF, i cili është një burim i besueshëm informacioni, i siguruar kryesisht nga regjistrat kombëtar. Ky hulumtim tregon se ka ndryshime të konsiderueshme në madhësinë e klinikave që kryejnë FAM. Numri më i madh i klinikave është në vendet me numrin më të madh të banorëve siç janë Gjermania, Franca, Spanja dhe Italia. Sistemet e akreditimit janë krijuar në shumicën e vendeve të BE-së, por akoma nuk është e mundur të lidhen rezultatet me rezultatet e akreditimit të laboratorëve ose klinikave.</w:t>
      </w:r>
    </w:p>
    <w:p w:rsidR="00C412AA" w:rsidRPr="00040A18" w:rsidRDefault="00C412AA">
      <w:pPr>
        <w:spacing w:line="276" w:lineRule="auto"/>
        <w:jc w:val="both"/>
        <w:rPr>
          <w:rFonts w:ascii="Book Antiqua" w:eastAsia="Book Antiqua" w:hAnsi="Book Antiqua" w:cs="Book Antiqua"/>
          <w:b/>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b/>
          <w:color w:val="000000" w:themeColor="text1"/>
          <w:sz w:val="22"/>
          <w:szCs w:val="22"/>
        </w:rPr>
        <w:t>Figura 2</w:t>
      </w:r>
      <w:r w:rsidRPr="00040A18">
        <w:rPr>
          <w:rFonts w:ascii="Book Antiqua" w:eastAsia="Book Antiqua" w:hAnsi="Book Antiqua" w:cs="Book Antiqua"/>
          <w:color w:val="000000" w:themeColor="text1"/>
          <w:sz w:val="22"/>
          <w:szCs w:val="22"/>
        </w:rPr>
        <w:t>. Sistemi i akreditimit për FAM në shtetet e BE-së</w:t>
      </w:r>
    </w:p>
    <w:p w:rsidR="00C412AA" w:rsidRPr="00040A18" w:rsidRDefault="00C412AA">
      <w:pPr>
        <w:spacing w:line="276" w:lineRule="auto"/>
        <w:jc w:val="both"/>
        <w:rPr>
          <w:rFonts w:ascii="Book Antiqua" w:eastAsia="Book Antiqua" w:hAnsi="Book Antiqua" w:cs="Book Antiqua"/>
          <w:b/>
          <w:color w:val="000000" w:themeColor="text1"/>
          <w:sz w:val="22"/>
          <w:szCs w:val="22"/>
        </w:rPr>
      </w:pPr>
    </w:p>
    <w:p w:rsidR="00C412AA" w:rsidRPr="00040A18" w:rsidRDefault="00C412AA">
      <w:pPr>
        <w:spacing w:line="276" w:lineRule="auto"/>
        <w:jc w:val="center"/>
        <w:rPr>
          <w:rFonts w:ascii="Book Antiqua" w:eastAsia="Book Antiqua" w:hAnsi="Book Antiqua" w:cs="Book Antiqua"/>
          <w:color w:val="000000" w:themeColor="text1"/>
        </w:rPr>
      </w:pPr>
    </w:p>
    <w:p w:rsidR="00C412AA" w:rsidRPr="00040A18" w:rsidRDefault="00F82B8B">
      <w:pPr>
        <w:spacing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noProof/>
          <w:color w:val="000000" w:themeColor="text1"/>
          <w:sz w:val="22"/>
          <w:szCs w:val="22"/>
        </w:rPr>
        <w:drawing>
          <wp:inline distT="0" distB="0" distL="0" distR="0" wp14:anchorId="0E566B76" wp14:editId="2465344F">
            <wp:extent cx="5514975" cy="4724400"/>
            <wp:effectExtent l="0" t="0" r="9525" b="0"/>
            <wp:docPr id="9" name="Picture 9" descr="C:\Users\Admin\Desktop\FAM Hart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FAM Harta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4975" cy="4724400"/>
                    </a:xfrm>
                    <a:prstGeom prst="rect">
                      <a:avLst/>
                    </a:prstGeom>
                    <a:noFill/>
                    <a:ln>
                      <a:noFill/>
                    </a:ln>
                  </pic:spPr>
                </pic:pic>
              </a:graphicData>
            </a:graphic>
          </wp:inline>
        </w:drawing>
      </w:r>
    </w:p>
    <w:p w:rsidR="00C412AA" w:rsidRPr="00040A18" w:rsidRDefault="000A3EAC">
      <w:pPr>
        <w:spacing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Duke bërë analizën e të dhënave, sigurisht që duhet të merret në konsideratë, numri i klinikave dhe numri i cikleve të kryera për klinikë. Siguria dhe cilësia janë shqetësimet kryesore kur trajtohen pacientët me teknika FAM.</w:t>
      </w:r>
      <w:r w:rsidRPr="00040A18">
        <w:rPr>
          <w:rFonts w:ascii="Book Antiqua" w:eastAsia="Book Antiqua" w:hAnsi="Book Antiqua" w:cs="Book Antiqua"/>
          <w:color w:val="000000" w:themeColor="text1"/>
          <w:sz w:val="22"/>
          <w:szCs w:val="22"/>
          <w:vertAlign w:val="superscript"/>
        </w:rPr>
        <w:footnoteReference w:id="16"/>
      </w:r>
      <w:r w:rsidRPr="00040A18">
        <w:rPr>
          <w:rFonts w:ascii="Book Antiqua" w:eastAsia="Book Antiqua" w:hAnsi="Book Antiqua" w:cs="Book Antiqua"/>
          <w:color w:val="000000" w:themeColor="text1"/>
          <w:sz w:val="22"/>
          <w:szCs w:val="22"/>
        </w:rPr>
        <w:t xml:space="preserve"> Legjislacioni i duhur, skemat e rimbursimit dhe praktika e mirë klinike janë thelbësore për arritjen e këtij qëllimi. Mbledhja e besueshme e të dhënave për rezultatet e marra duhet të mundësoj përmirësim në terren. Njohja e ESHRE nga BE si një organizatë "profesionale" evropiane në fushën e FAM si dhe bashkëpunimi i ESHRE me Komisionin Evropian do të përmirësoj ndjeshëm cilësinë dhe sigurinë e aplikimit të FAM për pacientët në Bashkimin Evropian.</w:t>
      </w:r>
    </w:p>
    <w:p w:rsidR="00C412AA" w:rsidRPr="00040A18" w:rsidRDefault="00C412AA">
      <w:pPr>
        <w:spacing w:after="240" w:line="276" w:lineRule="auto"/>
        <w:jc w:val="both"/>
        <w:rPr>
          <w:rFonts w:ascii="Book Antiqua" w:eastAsia="Book Antiqua" w:hAnsi="Book Antiqua" w:cs="Book Antiqua"/>
          <w:color w:val="000000" w:themeColor="text1"/>
          <w:sz w:val="22"/>
          <w:szCs w:val="22"/>
        </w:rPr>
      </w:pPr>
    </w:p>
    <w:p w:rsidR="00C412AA" w:rsidRPr="00040A18" w:rsidRDefault="000A3EAC">
      <w:pPr>
        <w:spacing w:after="240" w:line="276" w:lineRule="auto"/>
        <w:jc w:val="both"/>
        <w:rPr>
          <w:rFonts w:ascii="Book Antiqua" w:eastAsia="Book Antiqua" w:hAnsi="Book Antiqua" w:cs="Book Antiqua"/>
          <w:b/>
          <w:i/>
          <w:color w:val="000000" w:themeColor="text1"/>
          <w:sz w:val="22"/>
          <w:szCs w:val="22"/>
        </w:rPr>
      </w:pPr>
      <w:r w:rsidRPr="00040A18">
        <w:rPr>
          <w:rFonts w:ascii="Book Antiqua" w:eastAsia="Book Antiqua" w:hAnsi="Book Antiqua" w:cs="Book Antiqua"/>
          <w:b/>
          <w:i/>
          <w:color w:val="000000" w:themeColor="text1"/>
          <w:sz w:val="22"/>
          <w:szCs w:val="22"/>
        </w:rPr>
        <w:t>4.2. Diagnostika citogjenetike /amniocenteza</w:t>
      </w: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lastRenderedPageBreak/>
        <w:t>Qёllimi i inicimit tё ofrimit të shërbimit pёr Diagnostikё Citogjenetike prenatale-amniocentezё ёshtё diagnostikimi i hershёm i çrregullimeve kromozomale, meqenёse njё numёr i madh i tyre hasen tek fёmijet e posalindur dhe te gratë shtatёzëna. Diagnostikimi prenatal ёshtё fusha e mjekёsisё qё ёshtё zhvilluar nё mёnyrё tё vazhdueshme nё vitet e fundit dhe ofron mundёsinë qё prindërit e ardhshёm tё kuptojnë nё gjysmёn e parё tё shtatёzënёsisë nёse foshnja e tyre bartë njё çrregullim gjenetik dhe nёse po, tё zbulojnë se me çfarё çrregullimi kemi të bëjmë. Amniocenteza është procedurë invasive diagnostike me të cilën përmes marrjes së lëngut amniotik prej javës-12-18 gestative analizohet kariotipi i fetusit.</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Amniocenteza rekomandohet kur:</w:t>
      </w:r>
    </w:p>
    <w:p w:rsidR="00C412AA" w:rsidRPr="00040A18" w:rsidRDefault="000A3EAC">
      <w:pPr>
        <w:numPr>
          <w:ilvl w:val="0"/>
          <w:numId w:val="3"/>
        </w:numPr>
        <w:pBdr>
          <w:top w:val="nil"/>
          <w:left w:val="nil"/>
          <w:bottom w:val="nil"/>
          <w:right w:val="nil"/>
          <w:between w:val="nil"/>
        </w:pBdr>
        <w:spacing w:line="276" w:lineRule="auto"/>
        <w:jc w:val="both"/>
        <w:rPr>
          <w:color w:val="000000" w:themeColor="text1"/>
          <w:sz w:val="22"/>
          <w:szCs w:val="22"/>
        </w:rPr>
      </w:pPr>
      <w:r w:rsidRPr="00040A18">
        <w:rPr>
          <w:rFonts w:ascii="Book Antiqua" w:eastAsia="Book Antiqua" w:hAnsi="Book Antiqua" w:cs="Book Antiqua"/>
          <w:color w:val="000000" w:themeColor="text1"/>
          <w:sz w:val="22"/>
          <w:szCs w:val="22"/>
        </w:rPr>
        <w:t>Rezultatet jan jo normale te testeve prenatale (double testi, Triple testi, NIPT)</w:t>
      </w:r>
    </w:p>
    <w:p w:rsidR="00C412AA" w:rsidRPr="00040A18" w:rsidRDefault="000A3EAC">
      <w:pPr>
        <w:numPr>
          <w:ilvl w:val="0"/>
          <w:numId w:val="3"/>
        </w:numPr>
        <w:pBdr>
          <w:top w:val="nil"/>
          <w:left w:val="nil"/>
          <w:bottom w:val="nil"/>
          <w:right w:val="nil"/>
          <w:between w:val="nil"/>
        </w:pBdr>
        <w:spacing w:line="276" w:lineRule="auto"/>
        <w:jc w:val="both"/>
        <w:rPr>
          <w:color w:val="000000" w:themeColor="text1"/>
          <w:sz w:val="22"/>
          <w:szCs w:val="22"/>
        </w:rPr>
      </w:pPr>
      <w:r w:rsidRPr="00040A18">
        <w:rPr>
          <w:rFonts w:ascii="Book Antiqua" w:eastAsia="Book Antiqua" w:hAnsi="Book Antiqua" w:cs="Book Antiqua"/>
          <w:color w:val="000000" w:themeColor="text1"/>
          <w:sz w:val="22"/>
          <w:szCs w:val="22"/>
        </w:rPr>
        <w:t>Nё rastet kur gruaja ka njё femijё tё lindur me anomali</w:t>
      </w:r>
    </w:p>
    <w:p w:rsidR="00C412AA" w:rsidRPr="00040A18" w:rsidRDefault="000A3EAC">
      <w:pPr>
        <w:numPr>
          <w:ilvl w:val="0"/>
          <w:numId w:val="3"/>
        </w:numPr>
        <w:pBdr>
          <w:top w:val="nil"/>
          <w:left w:val="nil"/>
          <w:bottom w:val="nil"/>
          <w:right w:val="nil"/>
          <w:between w:val="nil"/>
        </w:pBdr>
        <w:spacing w:after="240" w:line="276" w:lineRule="auto"/>
        <w:jc w:val="both"/>
        <w:rPr>
          <w:color w:val="000000" w:themeColor="text1"/>
          <w:sz w:val="22"/>
          <w:szCs w:val="22"/>
        </w:rPr>
      </w:pPr>
      <w:r w:rsidRPr="00040A18">
        <w:rPr>
          <w:rFonts w:ascii="Book Antiqua" w:eastAsia="Book Antiqua" w:hAnsi="Book Antiqua" w:cs="Book Antiqua"/>
          <w:color w:val="000000" w:themeColor="text1"/>
          <w:sz w:val="22"/>
          <w:szCs w:val="22"/>
        </w:rPr>
        <w:t>Në rastet kur njeri nga partneret ёshtё bartёs i ndonjё translokacioni kromozomal.</w:t>
      </w:r>
    </w:p>
    <w:p w:rsidR="00C412AA" w:rsidRPr="00040A18" w:rsidRDefault="000A3EAC">
      <w:pPr>
        <w:spacing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Ky shёrbim nё botё ofrohet qё 50 vite dhe tani ёshtё ndёr shёrbimet që kёrkohet nё kuadёr tё parametrave diagnostikues duke marr parasysh qё secila femёr pas moshёs 35 vjeçare duhet punuar analizёn pёr shkak tё rrezikut potencial tё lindjes sё fёmijёve me anomali, kurse nё vendin tonё nuk ёshtё ofruar asnjeherё nё sektorin publik e as privat për shkak të mungesës së laboratorit citogjenetik. Në kuadër të KOGJ ekziston reparti i patologjisë së barrës ku ekzistojnë kushtet teknike dhe stafi profesional për marrjen e lëngut amniotik për analizë, kështu që kjo mund të realizohet mënjëherë pas fillimit të laboratorit citogjenetik. Pёr kryerjen e analizёs sё amniocentezёs nё regjion kёrkohen rreth 500 €, shumё kjo e cila ёshtё mjaftë e kushtueshme pёr pacientët.</w:t>
      </w:r>
    </w:p>
    <w:p w:rsidR="00C412AA" w:rsidRPr="00040A18" w:rsidRDefault="000A3EAC">
      <w:pPr>
        <w:spacing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Funksionalizimi i laboratorit tё citogjenetikёs me shёrbim tё diagnostikёs citogjenetike prenatale e jep arsyeshmёrinë në aspektin e saj kosto efektiv. Ky shërbim i plotëson kushtet dhe kriteret për ofrimin e shërbimeve dhe mund të filloj punën me stafin ekzistues. Me rritjen e fluksit të punës në të ardhmen duhet të rekrutohet staf shtesë, i planifikuar në këtë plan të veprimit.</w:t>
      </w:r>
    </w:p>
    <w:p w:rsidR="00C412AA" w:rsidRPr="00040A18" w:rsidRDefault="000A3EAC">
      <w:pPr>
        <w:spacing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Kostoja e investimit pёr realizimin e kёtij shёrbimi ёshtё shumё mё e vogёl dhe e arsyeton shёrbimin krahasuar me koston qё i kushton familjes dhe shtetit pёr kujdes tё fёmijëve tё lindur me çrregullime gjenetike.</w:t>
      </w:r>
    </w:p>
    <w:p w:rsidR="00C412AA" w:rsidRPr="00040A18" w:rsidRDefault="000A3EAC">
      <w:pPr>
        <w:spacing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Laboratori citogjenetik poashtu realizon studime për citogjenetikёn e qelizave tё embrionit, posaçërisht bёrthamen ku ndodhen kromozomet dhe gjenet pёr tё pёrcaktuar statusin e qelizave tё embrionit pas Frytnimit tё asistuar mjekёsor para implantimit, qё referohet si Testim Gjenetik Para Implantues –PGT. Me anё tё kësaj analize mund tё bёhet pёrzgjedhje e embrionit në rastet kur te çiftet me anamnezё tё ngarkuar familjare siç janё aberacionet kromozomale mund tё vijnë nё shprehje, dhe kështu mundësohet të bëhet pёrzgjedhja e embrioneve tё shёndosha pa çrregullime kromozomale. UA nr. 09/2011 për rrethana e veçanta dhe indikacionet mjekësore për ndërprerje të shtatzënisë në kushte të sigurta në Republikën e Kosovës përcakton ndërprerjen e shtatzënisë vetëm për një numër të sindromave të cilat janë inkompatibile me jetën.Testimi pre-</w:t>
      </w:r>
      <w:r w:rsidRPr="00040A18">
        <w:rPr>
          <w:rFonts w:ascii="Book Antiqua" w:eastAsia="Book Antiqua" w:hAnsi="Book Antiqua" w:cs="Book Antiqua"/>
          <w:color w:val="000000" w:themeColor="text1"/>
          <w:sz w:val="22"/>
          <w:szCs w:val="22"/>
        </w:rPr>
        <w:lastRenderedPageBreak/>
        <w:t xml:space="preserve">implantues (PGT) e bën të mundur parandalimin e rasteve të tilla duke eleminuar embrionet jo të shëndosha qysh para implantimit në mitër.Duke marrë parasysh se lindja e fёmijeve me anomali tё ndryshme kongjenitale shkakton ngarkesё psiko-sociale dhe financiare tё konsiderueshme si pёr familjarёt poashtu edhe pёr Institucionet publike shohim tё arsyeshme se njё investim nё ngritjen e nivelit tё shёrbimeve diagnostikuese tё cilat do tё arsyeton shёrbimin dhe buxhetin poashtu. </w:t>
      </w:r>
    </w:p>
    <w:p w:rsidR="00C412AA" w:rsidRPr="00040A18" w:rsidRDefault="000A3EAC">
      <w:pPr>
        <w:spacing w:after="240"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Me fillimin e kryerjes së këtyre analizave diagnostike citogjenetike prenatale Klinika Universitare e Kosovës do tё jetё qendёr referente pёr tё gjitha rastet brenda Kosovёs.</w:t>
      </w:r>
    </w:p>
    <w:p w:rsidR="00C412AA" w:rsidRPr="00040A18" w:rsidRDefault="000A3EAC">
      <w:pPr>
        <w:spacing w:line="360"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Metodat dhe teknikat e Citogjenetikёs diagnostikuese pёrfshijnё:</w:t>
      </w:r>
    </w:p>
    <w:p w:rsidR="00C412AA" w:rsidRPr="00040A18" w:rsidRDefault="000A3EAC">
      <w:pPr>
        <w:numPr>
          <w:ilvl w:val="0"/>
          <w:numId w:val="4"/>
        </w:numPr>
        <w:pBdr>
          <w:top w:val="nil"/>
          <w:left w:val="nil"/>
          <w:bottom w:val="nil"/>
          <w:right w:val="nil"/>
          <w:between w:val="nil"/>
        </w:pBdr>
        <w:spacing w:line="360" w:lineRule="auto"/>
        <w:jc w:val="both"/>
        <w:rPr>
          <w:color w:val="000000" w:themeColor="text1"/>
          <w:sz w:val="22"/>
          <w:szCs w:val="22"/>
        </w:rPr>
      </w:pPr>
      <w:r w:rsidRPr="00040A18">
        <w:rPr>
          <w:rFonts w:ascii="Book Antiqua" w:eastAsia="Book Antiqua" w:hAnsi="Book Antiqua" w:cs="Book Antiqua"/>
          <w:color w:val="000000" w:themeColor="text1"/>
          <w:sz w:val="22"/>
          <w:szCs w:val="22"/>
        </w:rPr>
        <w:t>Testimi gjenetikё para implantues i embrioneve-PGT</w:t>
      </w:r>
    </w:p>
    <w:p w:rsidR="00C412AA" w:rsidRPr="00040A18" w:rsidRDefault="000A3EAC">
      <w:pPr>
        <w:numPr>
          <w:ilvl w:val="0"/>
          <w:numId w:val="4"/>
        </w:numPr>
        <w:pBdr>
          <w:top w:val="nil"/>
          <w:left w:val="nil"/>
          <w:bottom w:val="nil"/>
          <w:right w:val="nil"/>
          <w:between w:val="nil"/>
        </w:pBdr>
        <w:spacing w:line="360" w:lineRule="auto"/>
        <w:jc w:val="both"/>
        <w:rPr>
          <w:color w:val="000000" w:themeColor="text1"/>
          <w:sz w:val="22"/>
          <w:szCs w:val="22"/>
        </w:rPr>
      </w:pPr>
      <w:r w:rsidRPr="00040A18">
        <w:rPr>
          <w:rFonts w:ascii="Book Antiqua" w:eastAsia="Book Antiqua" w:hAnsi="Book Antiqua" w:cs="Book Antiqua"/>
          <w:color w:val="000000" w:themeColor="text1"/>
          <w:sz w:val="22"/>
          <w:szCs w:val="22"/>
        </w:rPr>
        <w:t>Kultivimi i limfociteve nga gjaku periferik</w:t>
      </w:r>
    </w:p>
    <w:p w:rsidR="00C412AA" w:rsidRPr="00040A18" w:rsidRDefault="000A3EAC">
      <w:pPr>
        <w:numPr>
          <w:ilvl w:val="0"/>
          <w:numId w:val="4"/>
        </w:numPr>
        <w:pBdr>
          <w:top w:val="nil"/>
          <w:left w:val="nil"/>
          <w:bottom w:val="nil"/>
          <w:right w:val="nil"/>
          <w:between w:val="nil"/>
        </w:pBdr>
        <w:spacing w:line="360" w:lineRule="auto"/>
        <w:jc w:val="both"/>
        <w:rPr>
          <w:color w:val="000000" w:themeColor="text1"/>
          <w:sz w:val="22"/>
          <w:szCs w:val="22"/>
        </w:rPr>
      </w:pPr>
      <w:r w:rsidRPr="00040A18">
        <w:rPr>
          <w:rFonts w:ascii="Book Antiqua" w:eastAsia="Book Antiqua" w:hAnsi="Book Antiqua" w:cs="Book Antiqua"/>
          <w:color w:val="000000" w:themeColor="text1"/>
          <w:sz w:val="22"/>
          <w:szCs w:val="22"/>
        </w:rPr>
        <w:t>Kultivimi i amniociteve nga langu amniotik</w:t>
      </w:r>
    </w:p>
    <w:p w:rsidR="00C412AA" w:rsidRPr="00040A18" w:rsidRDefault="000A3EAC">
      <w:pPr>
        <w:numPr>
          <w:ilvl w:val="0"/>
          <w:numId w:val="4"/>
        </w:numPr>
        <w:pBdr>
          <w:top w:val="nil"/>
          <w:left w:val="nil"/>
          <w:bottom w:val="nil"/>
          <w:right w:val="nil"/>
          <w:between w:val="nil"/>
        </w:pBdr>
        <w:spacing w:line="360" w:lineRule="auto"/>
        <w:jc w:val="both"/>
        <w:rPr>
          <w:color w:val="000000" w:themeColor="text1"/>
          <w:sz w:val="22"/>
          <w:szCs w:val="22"/>
        </w:rPr>
      </w:pPr>
      <w:r w:rsidRPr="00040A18">
        <w:rPr>
          <w:rFonts w:ascii="Book Antiqua" w:eastAsia="Book Antiqua" w:hAnsi="Book Antiqua" w:cs="Book Antiqua"/>
          <w:color w:val="000000" w:themeColor="text1"/>
          <w:sz w:val="22"/>
          <w:szCs w:val="22"/>
        </w:rPr>
        <w:t>Kultivimi i fibroblacteve dhe trofoblasteve nga mostra e aborteve spontane</w:t>
      </w:r>
    </w:p>
    <w:p w:rsidR="00C412AA" w:rsidRPr="00040A18" w:rsidRDefault="000A3EAC">
      <w:pPr>
        <w:numPr>
          <w:ilvl w:val="0"/>
          <w:numId w:val="4"/>
        </w:numPr>
        <w:pBdr>
          <w:top w:val="nil"/>
          <w:left w:val="nil"/>
          <w:bottom w:val="nil"/>
          <w:right w:val="nil"/>
          <w:between w:val="nil"/>
        </w:pBdr>
        <w:spacing w:line="360" w:lineRule="auto"/>
        <w:jc w:val="both"/>
        <w:rPr>
          <w:color w:val="000000" w:themeColor="text1"/>
          <w:sz w:val="22"/>
          <w:szCs w:val="22"/>
        </w:rPr>
      </w:pPr>
      <w:r w:rsidRPr="00040A18">
        <w:rPr>
          <w:rFonts w:ascii="Book Antiqua" w:eastAsia="Book Antiqua" w:hAnsi="Book Antiqua" w:cs="Book Antiqua"/>
          <w:color w:val="000000" w:themeColor="text1"/>
          <w:sz w:val="22"/>
          <w:szCs w:val="22"/>
        </w:rPr>
        <w:t>Ndёrprerjen e kulturave dhe pregaditjen e preparateve me metafazё dhe prometafazё tё kromozomeve</w:t>
      </w:r>
    </w:p>
    <w:p w:rsidR="00C412AA" w:rsidRPr="00040A18" w:rsidRDefault="000A3EAC">
      <w:pPr>
        <w:numPr>
          <w:ilvl w:val="0"/>
          <w:numId w:val="4"/>
        </w:numPr>
        <w:pBdr>
          <w:top w:val="nil"/>
          <w:left w:val="nil"/>
          <w:bottom w:val="nil"/>
          <w:right w:val="nil"/>
          <w:between w:val="nil"/>
        </w:pBdr>
        <w:spacing w:line="360" w:lineRule="auto"/>
        <w:jc w:val="both"/>
        <w:rPr>
          <w:color w:val="000000" w:themeColor="text1"/>
          <w:sz w:val="22"/>
          <w:szCs w:val="22"/>
        </w:rPr>
      </w:pPr>
      <w:r w:rsidRPr="00040A18">
        <w:rPr>
          <w:rFonts w:ascii="Book Antiqua" w:eastAsia="Book Antiqua" w:hAnsi="Book Antiqua" w:cs="Book Antiqua"/>
          <w:color w:val="000000" w:themeColor="text1"/>
          <w:sz w:val="22"/>
          <w:szCs w:val="22"/>
        </w:rPr>
        <w:t>GTG tekniken e ngjyrosjes sё kromozomeve</w:t>
      </w:r>
    </w:p>
    <w:p w:rsidR="00C412AA" w:rsidRPr="00040A18" w:rsidRDefault="000A3EAC">
      <w:pPr>
        <w:numPr>
          <w:ilvl w:val="0"/>
          <w:numId w:val="4"/>
        </w:numPr>
        <w:pBdr>
          <w:top w:val="nil"/>
          <w:left w:val="nil"/>
          <w:bottom w:val="nil"/>
          <w:right w:val="nil"/>
          <w:between w:val="nil"/>
        </w:pBdr>
        <w:spacing w:line="360" w:lineRule="auto"/>
        <w:jc w:val="both"/>
        <w:rPr>
          <w:color w:val="000000" w:themeColor="text1"/>
          <w:sz w:val="22"/>
          <w:szCs w:val="22"/>
        </w:rPr>
      </w:pPr>
      <w:r w:rsidRPr="00040A18">
        <w:rPr>
          <w:rFonts w:ascii="Book Antiqua" w:eastAsia="Book Antiqua" w:hAnsi="Book Antiqua" w:cs="Book Antiqua"/>
          <w:color w:val="000000" w:themeColor="text1"/>
          <w:sz w:val="22"/>
          <w:szCs w:val="22"/>
        </w:rPr>
        <w:t>Analiza e kromozomeve nё mikroskop-Diagnostikimi</w:t>
      </w:r>
    </w:p>
    <w:p w:rsidR="00C412AA" w:rsidRPr="00040A18" w:rsidRDefault="000A3EAC">
      <w:pPr>
        <w:numPr>
          <w:ilvl w:val="0"/>
          <w:numId w:val="4"/>
        </w:numPr>
        <w:pBdr>
          <w:top w:val="nil"/>
          <w:left w:val="nil"/>
          <w:bottom w:val="nil"/>
          <w:right w:val="nil"/>
          <w:between w:val="nil"/>
        </w:pBdr>
        <w:spacing w:line="360" w:lineRule="auto"/>
        <w:jc w:val="both"/>
        <w:rPr>
          <w:color w:val="000000" w:themeColor="text1"/>
          <w:sz w:val="22"/>
          <w:szCs w:val="22"/>
        </w:rPr>
      </w:pPr>
      <w:r w:rsidRPr="00040A18">
        <w:rPr>
          <w:rFonts w:ascii="Book Antiqua" w:eastAsia="Book Antiqua" w:hAnsi="Book Antiqua" w:cs="Book Antiqua"/>
          <w:color w:val="000000" w:themeColor="text1"/>
          <w:sz w:val="22"/>
          <w:szCs w:val="22"/>
        </w:rPr>
        <w:t>Analizёn FISH-Fluorescent in Situ Hibrization</w:t>
      </w:r>
    </w:p>
    <w:p w:rsidR="00C412AA" w:rsidRPr="00040A18" w:rsidRDefault="000A3EAC">
      <w:pPr>
        <w:numPr>
          <w:ilvl w:val="0"/>
          <w:numId w:val="4"/>
        </w:numPr>
        <w:pBdr>
          <w:top w:val="nil"/>
          <w:left w:val="nil"/>
          <w:bottom w:val="nil"/>
          <w:right w:val="nil"/>
          <w:between w:val="nil"/>
        </w:pBdr>
        <w:spacing w:line="360" w:lineRule="auto"/>
        <w:jc w:val="both"/>
        <w:rPr>
          <w:color w:val="000000" w:themeColor="text1"/>
          <w:sz w:val="22"/>
          <w:szCs w:val="22"/>
        </w:rPr>
      </w:pPr>
      <w:r w:rsidRPr="00040A18">
        <w:rPr>
          <w:rFonts w:ascii="Book Antiqua" w:eastAsia="Book Antiqua" w:hAnsi="Book Antiqua" w:cs="Book Antiqua"/>
          <w:color w:val="000000" w:themeColor="text1"/>
          <w:sz w:val="22"/>
          <w:szCs w:val="22"/>
        </w:rPr>
        <w:t>Hibridizimin me PCR</w:t>
      </w:r>
    </w:p>
    <w:p w:rsidR="00C412AA" w:rsidRPr="00040A18" w:rsidRDefault="00C412AA">
      <w:pPr>
        <w:pBdr>
          <w:top w:val="nil"/>
          <w:left w:val="nil"/>
          <w:bottom w:val="nil"/>
          <w:right w:val="nil"/>
          <w:between w:val="nil"/>
        </w:pBdr>
        <w:spacing w:line="360" w:lineRule="auto"/>
        <w:ind w:left="720"/>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Tabela 2. Analizat e kariotipeve, indikacionet dhe diagnosimi i çrregullimeve kromozomale në Klinikën Obstetrike Gjinekologjike, 2009-2019</w:t>
      </w:r>
    </w:p>
    <w:tbl>
      <w:tblPr>
        <w:tblStyle w:val="a0"/>
        <w:tblW w:w="9180" w:type="dxa"/>
        <w:tblBorders>
          <w:top w:val="single" w:sz="8" w:space="0" w:color="5B9BD5"/>
          <w:left w:val="single" w:sz="4" w:space="0" w:color="000000"/>
          <w:bottom w:val="single" w:sz="8" w:space="0" w:color="5B9BD5"/>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
        <w:gridCol w:w="1080"/>
        <w:gridCol w:w="1000"/>
        <w:gridCol w:w="1134"/>
        <w:gridCol w:w="1275"/>
        <w:gridCol w:w="1276"/>
        <w:gridCol w:w="1276"/>
        <w:gridCol w:w="1417"/>
      </w:tblGrid>
      <w:tr w:rsidR="00040A18" w:rsidRPr="00040A18" w:rsidTr="00C412AA">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722" w:type="dxa"/>
            <w:tcBorders>
              <w:left w:val="single" w:sz="4" w:space="0" w:color="5B9BD5"/>
            </w:tcBorders>
          </w:tcPr>
          <w:p w:rsidR="00C412AA" w:rsidRPr="00040A18" w:rsidRDefault="00C412AA">
            <w:pPr>
              <w:rPr>
                <w:color w:val="000000" w:themeColor="text1"/>
                <w:sz w:val="20"/>
                <w:szCs w:val="20"/>
              </w:rPr>
            </w:pPr>
          </w:p>
        </w:tc>
        <w:tc>
          <w:tcPr>
            <w:tcW w:w="1080" w:type="dxa"/>
            <w:tcBorders>
              <w:right w:val="single" w:sz="4" w:space="0" w:color="5B9BD5"/>
            </w:tcBorders>
          </w:tcPr>
          <w:p w:rsidR="00C412AA" w:rsidRPr="00040A18" w:rsidRDefault="00C412AA">
            <w:pP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p>
        </w:tc>
        <w:tc>
          <w:tcPr>
            <w:tcW w:w="2134" w:type="dxa"/>
            <w:gridSpan w:val="2"/>
            <w:tcBorders>
              <w:left w:val="single" w:sz="4" w:space="0" w:color="5B9BD5"/>
              <w:right w:val="single" w:sz="4" w:space="0" w:color="5B9BD5"/>
            </w:tcBorders>
          </w:tcPr>
          <w:p w:rsidR="00C412AA" w:rsidRPr="00040A18" w:rsidRDefault="000A3EAC">
            <w:pP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b w:val="0"/>
                <w:color w:val="000000" w:themeColor="text1"/>
                <w:sz w:val="20"/>
                <w:szCs w:val="20"/>
              </w:rPr>
              <w:t>Indikacioni</w:t>
            </w:r>
          </w:p>
        </w:tc>
        <w:tc>
          <w:tcPr>
            <w:tcW w:w="5244" w:type="dxa"/>
            <w:gridSpan w:val="4"/>
            <w:tcBorders>
              <w:left w:val="single" w:sz="4" w:space="0" w:color="5B9BD5"/>
              <w:right w:val="single" w:sz="4" w:space="0" w:color="5B9BD5"/>
            </w:tcBorders>
          </w:tcPr>
          <w:p w:rsidR="00C412AA" w:rsidRPr="00040A18" w:rsidRDefault="000A3EAC">
            <w:pP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b w:val="0"/>
                <w:color w:val="000000" w:themeColor="text1"/>
                <w:sz w:val="20"/>
                <w:szCs w:val="20"/>
              </w:rPr>
              <w:t>Çrregullimet kromozomale të gjetura</w:t>
            </w:r>
          </w:p>
        </w:tc>
      </w:tr>
      <w:tr w:rsidR="00040A18" w:rsidRPr="00040A18" w:rsidTr="00C412AA">
        <w:trPr>
          <w:cnfStyle w:val="000000100000" w:firstRow="0" w:lastRow="0" w:firstColumn="0" w:lastColumn="0" w:oddVBand="0" w:evenVBand="0" w:oddHBand="1" w:evenHBand="0" w:firstRowFirstColumn="0" w:firstRowLastColumn="0" w:lastRowFirstColumn="0" w:lastRowLastColumn="0"/>
          <w:trHeight w:val="1249"/>
        </w:trPr>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tcBorders>
          </w:tcPr>
          <w:p w:rsidR="00C412AA" w:rsidRPr="00040A18" w:rsidRDefault="000A3EAC">
            <w:pPr>
              <w:rPr>
                <w:rFonts w:ascii="Book Antiqua" w:eastAsia="Book Antiqua" w:hAnsi="Book Antiqua" w:cs="Book Antiqua"/>
                <w:color w:val="000000" w:themeColor="text1"/>
                <w:sz w:val="18"/>
                <w:szCs w:val="18"/>
              </w:rPr>
            </w:pPr>
            <w:r w:rsidRPr="00040A18">
              <w:rPr>
                <w:rFonts w:ascii="Book Antiqua" w:eastAsia="Book Antiqua" w:hAnsi="Book Antiqua" w:cs="Book Antiqua"/>
                <w:color w:val="000000" w:themeColor="text1"/>
                <w:sz w:val="18"/>
                <w:szCs w:val="18"/>
              </w:rPr>
              <w:t xml:space="preserve">Viti </w:t>
            </w:r>
          </w:p>
          <w:p w:rsidR="00C412AA" w:rsidRPr="00040A18" w:rsidRDefault="00C412AA">
            <w:pPr>
              <w:rPr>
                <w:rFonts w:ascii="Book Antiqua" w:eastAsia="Book Antiqua" w:hAnsi="Book Antiqua" w:cs="Book Antiqua"/>
                <w:color w:val="000000" w:themeColor="text1"/>
                <w:sz w:val="18"/>
                <w:szCs w:val="18"/>
              </w:rPr>
            </w:pPr>
          </w:p>
        </w:tc>
        <w:tc>
          <w:tcPr>
            <w:tcW w:w="1080"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Pacientë që kanë bërë analizёn e Kariotipit</w:t>
            </w:r>
          </w:p>
        </w:tc>
        <w:tc>
          <w:tcPr>
            <w:tcW w:w="1000"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Aborte spontane</w:t>
            </w:r>
          </w:p>
        </w:tc>
        <w:tc>
          <w:tcPr>
            <w:tcW w:w="1134"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Infertilitet primar</w:t>
            </w:r>
          </w:p>
        </w:tc>
        <w:tc>
          <w:tcPr>
            <w:tcW w:w="1275"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Nr. i pac. me Sindromen Down</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Nr. pac. me Sindromen Klinefelter</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Nr. pac. me Sindromen Turner</w:t>
            </w:r>
          </w:p>
        </w:tc>
        <w:tc>
          <w:tcPr>
            <w:tcW w:w="1417"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Nr. i pac. me Translokacion</w:t>
            </w:r>
          </w:p>
        </w:tc>
      </w:tr>
      <w:tr w:rsidR="00040A18" w:rsidRPr="00040A18" w:rsidTr="00C412AA">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right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2009</w:t>
            </w:r>
          </w:p>
        </w:tc>
        <w:tc>
          <w:tcPr>
            <w:tcW w:w="1080"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430</w:t>
            </w:r>
          </w:p>
        </w:tc>
        <w:tc>
          <w:tcPr>
            <w:tcW w:w="1000" w:type="dxa"/>
            <w:tcBorders>
              <w:top w:val="nil"/>
              <w:left w:val="single" w:sz="4" w:space="0" w:color="5B9BD5"/>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78</w:t>
            </w:r>
          </w:p>
        </w:tc>
        <w:tc>
          <w:tcPr>
            <w:tcW w:w="1134"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11</w:t>
            </w:r>
          </w:p>
        </w:tc>
        <w:tc>
          <w:tcPr>
            <w:tcW w:w="1275" w:type="dxa"/>
            <w:tcBorders>
              <w:top w:val="nil"/>
              <w:left w:val="single" w:sz="4" w:space="0" w:color="5B9BD5"/>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53</w:t>
            </w:r>
          </w:p>
        </w:tc>
        <w:tc>
          <w:tcPr>
            <w:tcW w:w="1276" w:type="dxa"/>
            <w:tcBorders>
              <w:top w:val="nil"/>
              <w:left w:val="nil"/>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0</w:t>
            </w:r>
          </w:p>
        </w:tc>
        <w:tc>
          <w:tcPr>
            <w:tcW w:w="1276" w:type="dxa"/>
            <w:tcBorders>
              <w:top w:val="nil"/>
              <w:left w:val="nil"/>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0</w:t>
            </w:r>
          </w:p>
        </w:tc>
        <w:tc>
          <w:tcPr>
            <w:tcW w:w="1417"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9</w:t>
            </w:r>
          </w:p>
        </w:tc>
      </w:tr>
      <w:tr w:rsidR="00040A18" w:rsidRPr="00040A18" w:rsidTr="00C412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2010</w:t>
            </w:r>
          </w:p>
        </w:tc>
        <w:tc>
          <w:tcPr>
            <w:tcW w:w="1080"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518</w:t>
            </w:r>
          </w:p>
        </w:tc>
        <w:tc>
          <w:tcPr>
            <w:tcW w:w="1000"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123</w:t>
            </w:r>
          </w:p>
        </w:tc>
        <w:tc>
          <w:tcPr>
            <w:tcW w:w="1134"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9</w:t>
            </w:r>
          </w:p>
        </w:tc>
        <w:tc>
          <w:tcPr>
            <w:tcW w:w="1275"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53</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5</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w:t>
            </w:r>
          </w:p>
        </w:tc>
        <w:tc>
          <w:tcPr>
            <w:tcW w:w="1417"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16</w:t>
            </w:r>
          </w:p>
        </w:tc>
      </w:tr>
      <w:tr w:rsidR="00040A18" w:rsidRPr="00040A18" w:rsidTr="00C412AA">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right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2011</w:t>
            </w:r>
          </w:p>
        </w:tc>
        <w:tc>
          <w:tcPr>
            <w:tcW w:w="1080"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598</w:t>
            </w:r>
          </w:p>
        </w:tc>
        <w:tc>
          <w:tcPr>
            <w:tcW w:w="1000" w:type="dxa"/>
            <w:tcBorders>
              <w:top w:val="nil"/>
              <w:left w:val="single" w:sz="4" w:space="0" w:color="5B9BD5"/>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135</w:t>
            </w:r>
          </w:p>
        </w:tc>
        <w:tc>
          <w:tcPr>
            <w:tcW w:w="1134"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33</w:t>
            </w:r>
          </w:p>
        </w:tc>
        <w:tc>
          <w:tcPr>
            <w:tcW w:w="1275" w:type="dxa"/>
            <w:tcBorders>
              <w:top w:val="nil"/>
              <w:left w:val="single" w:sz="4" w:space="0" w:color="5B9BD5"/>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42</w:t>
            </w:r>
          </w:p>
        </w:tc>
        <w:tc>
          <w:tcPr>
            <w:tcW w:w="1276" w:type="dxa"/>
            <w:tcBorders>
              <w:top w:val="nil"/>
              <w:left w:val="nil"/>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w:t>
            </w:r>
          </w:p>
        </w:tc>
        <w:tc>
          <w:tcPr>
            <w:tcW w:w="1276" w:type="dxa"/>
            <w:tcBorders>
              <w:top w:val="nil"/>
              <w:left w:val="nil"/>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w:t>
            </w:r>
          </w:p>
        </w:tc>
        <w:tc>
          <w:tcPr>
            <w:tcW w:w="1417"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16</w:t>
            </w:r>
          </w:p>
        </w:tc>
      </w:tr>
      <w:tr w:rsidR="00040A18" w:rsidRPr="00040A18" w:rsidTr="00C412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2012</w:t>
            </w:r>
          </w:p>
        </w:tc>
        <w:tc>
          <w:tcPr>
            <w:tcW w:w="1080"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558</w:t>
            </w:r>
          </w:p>
        </w:tc>
        <w:tc>
          <w:tcPr>
            <w:tcW w:w="1000"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140</w:t>
            </w:r>
          </w:p>
        </w:tc>
        <w:tc>
          <w:tcPr>
            <w:tcW w:w="1134"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29</w:t>
            </w:r>
          </w:p>
        </w:tc>
        <w:tc>
          <w:tcPr>
            <w:tcW w:w="1275"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39</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w:t>
            </w:r>
          </w:p>
        </w:tc>
        <w:tc>
          <w:tcPr>
            <w:tcW w:w="1417"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11</w:t>
            </w:r>
          </w:p>
        </w:tc>
      </w:tr>
      <w:tr w:rsidR="00040A18" w:rsidRPr="00040A18" w:rsidTr="00C412AA">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right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2013</w:t>
            </w:r>
          </w:p>
        </w:tc>
        <w:tc>
          <w:tcPr>
            <w:tcW w:w="1080"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543</w:t>
            </w:r>
          </w:p>
        </w:tc>
        <w:tc>
          <w:tcPr>
            <w:tcW w:w="1000" w:type="dxa"/>
            <w:tcBorders>
              <w:top w:val="nil"/>
              <w:left w:val="single" w:sz="4" w:space="0" w:color="5B9BD5"/>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108</w:t>
            </w:r>
          </w:p>
        </w:tc>
        <w:tc>
          <w:tcPr>
            <w:tcW w:w="1134"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19</w:t>
            </w:r>
          </w:p>
        </w:tc>
        <w:tc>
          <w:tcPr>
            <w:tcW w:w="1275" w:type="dxa"/>
            <w:tcBorders>
              <w:top w:val="nil"/>
              <w:left w:val="single" w:sz="4" w:space="0" w:color="5B9BD5"/>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40</w:t>
            </w:r>
          </w:p>
        </w:tc>
        <w:tc>
          <w:tcPr>
            <w:tcW w:w="1276" w:type="dxa"/>
            <w:tcBorders>
              <w:top w:val="nil"/>
              <w:left w:val="nil"/>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0</w:t>
            </w:r>
          </w:p>
        </w:tc>
        <w:tc>
          <w:tcPr>
            <w:tcW w:w="1276" w:type="dxa"/>
            <w:tcBorders>
              <w:top w:val="nil"/>
              <w:left w:val="nil"/>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0</w:t>
            </w:r>
          </w:p>
        </w:tc>
        <w:tc>
          <w:tcPr>
            <w:tcW w:w="1417"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7</w:t>
            </w:r>
          </w:p>
        </w:tc>
      </w:tr>
      <w:tr w:rsidR="00040A18" w:rsidRPr="00040A18" w:rsidTr="00C412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2014</w:t>
            </w:r>
          </w:p>
        </w:tc>
        <w:tc>
          <w:tcPr>
            <w:tcW w:w="1080"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305</w:t>
            </w:r>
          </w:p>
        </w:tc>
        <w:tc>
          <w:tcPr>
            <w:tcW w:w="1000"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60</w:t>
            </w:r>
          </w:p>
        </w:tc>
        <w:tc>
          <w:tcPr>
            <w:tcW w:w="1134"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10</w:t>
            </w:r>
          </w:p>
        </w:tc>
        <w:tc>
          <w:tcPr>
            <w:tcW w:w="1275"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23</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0</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w:t>
            </w:r>
          </w:p>
        </w:tc>
        <w:tc>
          <w:tcPr>
            <w:tcW w:w="1417"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w:t>
            </w:r>
          </w:p>
        </w:tc>
      </w:tr>
      <w:tr w:rsidR="00040A18" w:rsidRPr="00040A18" w:rsidTr="00C412AA">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right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2015</w:t>
            </w:r>
          </w:p>
        </w:tc>
        <w:tc>
          <w:tcPr>
            <w:tcW w:w="1080"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580</w:t>
            </w:r>
          </w:p>
        </w:tc>
        <w:tc>
          <w:tcPr>
            <w:tcW w:w="1000" w:type="dxa"/>
            <w:tcBorders>
              <w:top w:val="nil"/>
              <w:left w:val="single" w:sz="4" w:space="0" w:color="5B9BD5"/>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110</w:t>
            </w:r>
          </w:p>
        </w:tc>
        <w:tc>
          <w:tcPr>
            <w:tcW w:w="1134"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28</w:t>
            </w:r>
          </w:p>
        </w:tc>
        <w:tc>
          <w:tcPr>
            <w:tcW w:w="1275" w:type="dxa"/>
            <w:tcBorders>
              <w:top w:val="nil"/>
              <w:left w:val="single" w:sz="4" w:space="0" w:color="5B9BD5"/>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40</w:t>
            </w:r>
          </w:p>
        </w:tc>
        <w:tc>
          <w:tcPr>
            <w:tcW w:w="1276" w:type="dxa"/>
            <w:tcBorders>
              <w:top w:val="nil"/>
              <w:left w:val="nil"/>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w:t>
            </w:r>
          </w:p>
        </w:tc>
        <w:tc>
          <w:tcPr>
            <w:tcW w:w="1276" w:type="dxa"/>
            <w:tcBorders>
              <w:top w:val="nil"/>
              <w:left w:val="nil"/>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0</w:t>
            </w:r>
          </w:p>
        </w:tc>
        <w:tc>
          <w:tcPr>
            <w:tcW w:w="1417"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16</w:t>
            </w:r>
          </w:p>
        </w:tc>
      </w:tr>
      <w:tr w:rsidR="00040A18" w:rsidRPr="00040A18" w:rsidTr="00C412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2016</w:t>
            </w:r>
          </w:p>
        </w:tc>
        <w:tc>
          <w:tcPr>
            <w:tcW w:w="1080"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590</w:t>
            </w:r>
          </w:p>
        </w:tc>
        <w:tc>
          <w:tcPr>
            <w:tcW w:w="1000"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95</w:t>
            </w:r>
          </w:p>
        </w:tc>
        <w:tc>
          <w:tcPr>
            <w:tcW w:w="1134"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45</w:t>
            </w:r>
          </w:p>
        </w:tc>
        <w:tc>
          <w:tcPr>
            <w:tcW w:w="1275"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0</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w:t>
            </w:r>
          </w:p>
        </w:tc>
        <w:tc>
          <w:tcPr>
            <w:tcW w:w="1417"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8</w:t>
            </w:r>
          </w:p>
        </w:tc>
      </w:tr>
      <w:tr w:rsidR="00040A18" w:rsidRPr="00040A18" w:rsidTr="00C412AA">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right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2017</w:t>
            </w:r>
          </w:p>
        </w:tc>
        <w:tc>
          <w:tcPr>
            <w:tcW w:w="1080"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350</w:t>
            </w:r>
          </w:p>
        </w:tc>
        <w:tc>
          <w:tcPr>
            <w:tcW w:w="1000" w:type="dxa"/>
            <w:tcBorders>
              <w:top w:val="nil"/>
              <w:left w:val="single" w:sz="4" w:space="0" w:color="5B9BD5"/>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w:t>
            </w:r>
          </w:p>
        </w:tc>
        <w:tc>
          <w:tcPr>
            <w:tcW w:w="1134"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10</w:t>
            </w:r>
          </w:p>
        </w:tc>
        <w:tc>
          <w:tcPr>
            <w:tcW w:w="1275" w:type="dxa"/>
            <w:tcBorders>
              <w:top w:val="nil"/>
              <w:left w:val="single" w:sz="4" w:space="0" w:color="5B9BD5"/>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w:t>
            </w:r>
          </w:p>
        </w:tc>
        <w:tc>
          <w:tcPr>
            <w:tcW w:w="1276" w:type="dxa"/>
            <w:tcBorders>
              <w:top w:val="nil"/>
              <w:left w:val="nil"/>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0</w:t>
            </w:r>
          </w:p>
        </w:tc>
        <w:tc>
          <w:tcPr>
            <w:tcW w:w="1276" w:type="dxa"/>
            <w:tcBorders>
              <w:top w:val="nil"/>
              <w:left w:val="nil"/>
              <w:bottom w:val="nil"/>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w:t>
            </w:r>
          </w:p>
        </w:tc>
        <w:tc>
          <w:tcPr>
            <w:tcW w:w="1417" w:type="dxa"/>
            <w:tcBorders>
              <w:top w:val="nil"/>
              <w:left w:val="nil"/>
              <w:bottom w:val="nil"/>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w:t>
            </w:r>
          </w:p>
        </w:tc>
      </w:tr>
      <w:tr w:rsidR="00040A18" w:rsidRPr="00040A18" w:rsidTr="00C412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lastRenderedPageBreak/>
              <w:t>2018</w:t>
            </w:r>
          </w:p>
        </w:tc>
        <w:tc>
          <w:tcPr>
            <w:tcW w:w="1080"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600</w:t>
            </w:r>
          </w:p>
        </w:tc>
        <w:tc>
          <w:tcPr>
            <w:tcW w:w="1000"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65</w:t>
            </w:r>
          </w:p>
        </w:tc>
        <w:tc>
          <w:tcPr>
            <w:tcW w:w="1134"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13</w:t>
            </w:r>
          </w:p>
        </w:tc>
        <w:tc>
          <w:tcPr>
            <w:tcW w:w="1275" w:type="dxa"/>
            <w:tcBorders>
              <w:top w:val="nil"/>
              <w:left w:val="single" w:sz="4" w:space="0" w:color="5B9BD5"/>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25</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0</w:t>
            </w:r>
          </w:p>
        </w:tc>
        <w:tc>
          <w:tcPr>
            <w:tcW w:w="1276" w:type="dxa"/>
            <w:tcBorders>
              <w:top w:val="nil"/>
              <w:bottom w:val="nil"/>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6</w:t>
            </w:r>
          </w:p>
        </w:tc>
        <w:tc>
          <w:tcPr>
            <w:tcW w:w="1417" w:type="dxa"/>
            <w:tcBorders>
              <w:top w:val="nil"/>
              <w:bottom w:val="nil"/>
              <w:right w:val="single" w:sz="4" w:space="0" w:color="5B9BD5"/>
            </w:tcBorders>
          </w:tcPr>
          <w:p w:rsidR="00C412AA" w:rsidRPr="00040A18" w:rsidRDefault="000A3EAC">
            <w:pP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7</w:t>
            </w:r>
          </w:p>
        </w:tc>
      </w:tr>
      <w:tr w:rsidR="00040A18" w:rsidRPr="00040A18" w:rsidTr="00C412AA">
        <w:tc>
          <w:tcPr>
            <w:cnfStyle w:val="001000000000" w:firstRow="0" w:lastRow="0" w:firstColumn="1" w:lastColumn="0" w:oddVBand="0" w:evenVBand="0" w:oddHBand="0" w:evenHBand="0" w:firstRowFirstColumn="0" w:firstRowLastColumn="0" w:lastRowFirstColumn="0" w:lastRowLastColumn="0"/>
            <w:tcW w:w="722" w:type="dxa"/>
            <w:tcBorders>
              <w:top w:val="nil"/>
              <w:left w:val="single" w:sz="4" w:space="0" w:color="5B9BD5"/>
              <w:bottom w:val="single" w:sz="8" w:space="0" w:color="5B9BD5"/>
              <w:right w:val="nil"/>
            </w:tcBorders>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2019</w:t>
            </w:r>
          </w:p>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2020</w:t>
            </w:r>
          </w:p>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2021</w:t>
            </w:r>
          </w:p>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 xml:space="preserve">2022               </w:t>
            </w:r>
          </w:p>
        </w:tc>
        <w:tc>
          <w:tcPr>
            <w:tcW w:w="1080" w:type="dxa"/>
            <w:tcBorders>
              <w:top w:val="nil"/>
              <w:left w:val="nil"/>
              <w:bottom w:val="single" w:sz="8" w:space="0" w:color="5B9BD5"/>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610</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324</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297</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260</w:t>
            </w:r>
          </w:p>
        </w:tc>
        <w:tc>
          <w:tcPr>
            <w:tcW w:w="1000" w:type="dxa"/>
            <w:tcBorders>
              <w:top w:val="nil"/>
              <w:left w:val="single" w:sz="4" w:space="0" w:color="5B9BD5"/>
              <w:bottom w:val="single" w:sz="8" w:space="0" w:color="5B9BD5"/>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115</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50</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48</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42</w:t>
            </w:r>
          </w:p>
          <w:p w:rsidR="00C412AA" w:rsidRPr="00040A18" w:rsidRDefault="00C412A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p>
        </w:tc>
        <w:tc>
          <w:tcPr>
            <w:tcW w:w="1134" w:type="dxa"/>
            <w:tcBorders>
              <w:top w:val="nil"/>
              <w:left w:val="nil"/>
              <w:bottom w:val="single" w:sz="8" w:space="0" w:color="5B9BD5"/>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30</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23</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w:t>
            </w:r>
          </w:p>
        </w:tc>
        <w:tc>
          <w:tcPr>
            <w:tcW w:w="1275" w:type="dxa"/>
            <w:tcBorders>
              <w:top w:val="nil"/>
              <w:left w:val="single" w:sz="4" w:space="0" w:color="5B9BD5"/>
              <w:bottom w:val="single" w:sz="8" w:space="0" w:color="5B9BD5"/>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42</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22</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13</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12</w:t>
            </w:r>
          </w:p>
        </w:tc>
        <w:tc>
          <w:tcPr>
            <w:tcW w:w="1276" w:type="dxa"/>
            <w:tcBorders>
              <w:top w:val="nil"/>
              <w:left w:val="nil"/>
              <w:bottom w:val="single" w:sz="8" w:space="0" w:color="5B9BD5"/>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4</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w:t>
            </w:r>
          </w:p>
        </w:tc>
        <w:tc>
          <w:tcPr>
            <w:tcW w:w="1276" w:type="dxa"/>
            <w:tcBorders>
              <w:top w:val="nil"/>
              <w:left w:val="nil"/>
              <w:bottom w:val="single" w:sz="8" w:space="0" w:color="5B9BD5"/>
              <w:right w:val="nil"/>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w:t>
            </w:r>
          </w:p>
        </w:tc>
        <w:tc>
          <w:tcPr>
            <w:tcW w:w="1417" w:type="dxa"/>
            <w:tcBorders>
              <w:top w:val="nil"/>
              <w:left w:val="nil"/>
              <w:bottom w:val="single" w:sz="8" w:space="0" w:color="5B9BD5"/>
              <w:right w:val="single" w:sz="4" w:space="0" w:color="5B9BD5"/>
            </w:tcBorders>
          </w:tcPr>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11</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10</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w:t>
            </w:r>
          </w:p>
          <w:p w:rsidR="00C412AA" w:rsidRPr="00040A18" w:rsidRDefault="000A3EAC">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6</w:t>
            </w:r>
          </w:p>
        </w:tc>
      </w:tr>
    </w:tbl>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before="240" w:after="240" w:line="276" w:lineRule="auto"/>
        <w:rPr>
          <w:rFonts w:ascii="Calibri" w:eastAsia="Calibri" w:hAnsi="Calibri" w:cs="Calibri"/>
          <w:b/>
          <w:color w:val="000000" w:themeColor="text1"/>
          <w:sz w:val="32"/>
          <w:szCs w:val="32"/>
        </w:rPr>
      </w:pPr>
      <w:r w:rsidRPr="00040A18">
        <w:rPr>
          <w:noProof/>
          <w:color w:val="000000" w:themeColor="text1"/>
        </w:rPr>
        <w:drawing>
          <wp:inline distT="0" distB="0" distL="0" distR="0" wp14:anchorId="59947524" wp14:editId="2F5ED9FE">
            <wp:extent cx="5934075" cy="3588315"/>
            <wp:effectExtent l="0" t="0" r="9525"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Qasja dhe rimbursimi i PGT nuk lejohet sipas ligjit në një numër vendesh, (p.sh ligji gjerman për mbrojtjen e embrionit është shumë kufizues) ndërsa të tjerët kanë një ligj më liberal. Në vendet ku nuk ka kundërshtime parimore për PGT, mund të ketë kufizime në lidhje me indikacionet e përdorura. Më në fund ka vende evropiane që kanë shqetësime për ndryshimet demografike që po ndodhin. Këto shqetësime kanë ndikuar në skemat e rimbursimit. Një shembull i mirë i kësaj është Danimarka.</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sectPr w:rsidR="00C412AA" w:rsidRPr="00040A18">
          <w:footerReference w:type="default" r:id="rId12"/>
          <w:pgSz w:w="12240" w:h="15840"/>
          <w:pgMar w:top="1440" w:right="1440" w:bottom="1440" w:left="1440" w:header="720" w:footer="720" w:gutter="0"/>
          <w:pgNumType w:start="1"/>
          <w:cols w:space="720"/>
        </w:sect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before="240" w:after="240" w:line="276" w:lineRule="auto"/>
        <w:rPr>
          <w:rFonts w:ascii="Calibri" w:eastAsia="Calibri" w:hAnsi="Calibri" w:cs="Calibri"/>
          <w:b/>
          <w:color w:val="000000" w:themeColor="text1"/>
          <w:sz w:val="32"/>
          <w:szCs w:val="32"/>
        </w:rPr>
      </w:pPr>
      <w:r w:rsidRPr="00040A18">
        <w:rPr>
          <w:noProof/>
          <w:color w:val="000000" w:themeColor="text1"/>
        </w:rPr>
        <w:drawing>
          <wp:inline distT="0" distB="0" distL="0" distR="0" wp14:anchorId="64DDBF09" wp14:editId="29F6AD57">
            <wp:extent cx="8848584" cy="5216623"/>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8848584" cy="5216623"/>
                    </a:xfrm>
                    <a:prstGeom prst="rect">
                      <a:avLst/>
                    </a:prstGeom>
                    <a:ln/>
                  </pic:spPr>
                </pic:pic>
              </a:graphicData>
            </a:graphic>
          </wp:inline>
        </w:drawing>
      </w:r>
    </w:p>
    <w:p w:rsidR="00C412AA" w:rsidRPr="00040A18" w:rsidRDefault="00C412AA">
      <w:pPr>
        <w:spacing w:before="240" w:after="240" w:line="276" w:lineRule="auto"/>
        <w:rPr>
          <w:rFonts w:ascii="Calibri" w:eastAsia="Calibri" w:hAnsi="Calibri" w:cs="Calibri"/>
          <w:b/>
          <w:color w:val="000000" w:themeColor="text1"/>
          <w:sz w:val="32"/>
          <w:szCs w:val="32"/>
        </w:rPr>
      </w:pPr>
    </w:p>
    <w:p w:rsidR="00C412AA" w:rsidRPr="00040A18" w:rsidRDefault="000A3EAC">
      <w:pPr>
        <w:spacing w:before="240" w:after="240" w:line="276" w:lineRule="auto"/>
        <w:rPr>
          <w:rFonts w:ascii="Calibri" w:eastAsia="Calibri" w:hAnsi="Calibri" w:cs="Calibri"/>
          <w:b/>
          <w:color w:val="000000" w:themeColor="text1"/>
          <w:sz w:val="32"/>
          <w:szCs w:val="32"/>
        </w:rPr>
        <w:sectPr w:rsidR="00C412AA" w:rsidRPr="00040A18">
          <w:pgSz w:w="15840" w:h="12240" w:orient="landscape"/>
          <w:pgMar w:top="1440" w:right="1440" w:bottom="1440" w:left="1440" w:header="720" w:footer="720" w:gutter="0"/>
          <w:pgNumType w:start="1"/>
          <w:cols w:space="720"/>
        </w:sectPr>
      </w:pPr>
      <w:r w:rsidRPr="00040A18">
        <w:rPr>
          <w:noProof/>
          <w:color w:val="000000" w:themeColor="text1"/>
        </w:rPr>
        <w:lastRenderedPageBreak/>
        <w:drawing>
          <wp:anchor distT="0" distB="0" distL="114300" distR="114300" simplePos="0" relativeHeight="251659264" behindDoc="0" locked="0" layoutInCell="1" hidden="0" allowOverlap="1" wp14:anchorId="776499C0" wp14:editId="696B4EF6">
            <wp:simplePos x="0" y="0"/>
            <wp:positionH relativeFrom="column">
              <wp:posOffset>7</wp:posOffset>
            </wp:positionH>
            <wp:positionV relativeFrom="paragraph">
              <wp:posOffset>0</wp:posOffset>
            </wp:positionV>
            <wp:extent cx="8398510" cy="5887085"/>
            <wp:effectExtent l="0" t="0" r="0" b="0"/>
            <wp:wrapSquare wrapText="bothSides" distT="0" distB="0" distL="114300" distR="11430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8398510" cy="5887085"/>
                    </a:xfrm>
                    <a:prstGeom prst="rect">
                      <a:avLst/>
                    </a:prstGeom>
                    <a:ln/>
                  </pic:spPr>
                </pic:pic>
              </a:graphicData>
            </a:graphic>
          </wp:anchor>
        </w:drawing>
      </w:r>
    </w:p>
    <w:p w:rsidR="00C412AA" w:rsidRPr="00040A18" w:rsidRDefault="000A3EAC">
      <w:pPr>
        <w:spacing w:before="240" w:after="240" w:line="276" w:lineRule="auto"/>
        <w:rPr>
          <w:rFonts w:ascii="Calibri" w:eastAsia="Calibri" w:hAnsi="Calibri" w:cs="Calibri"/>
          <w:b/>
          <w:color w:val="000000" w:themeColor="text1"/>
          <w:sz w:val="32"/>
          <w:szCs w:val="32"/>
        </w:rPr>
      </w:pPr>
      <w:r w:rsidRPr="00040A18">
        <w:rPr>
          <w:noProof/>
          <w:color w:val="000000" w:themeColor="text1"/>
        </w:rPr>
        <w:lastRenderedPageBreak/>
        <w:drawing>
          <wp:anchor distT="0" distB="0" distL="114300" distR="114300" simplePos="0" relativeHeight="251660288" behindDoc="0" locked="0" layoutInCell="1" hidden="0" allowOverlap="1" wp14:anchorId="54C12914" wp14:editId="1151CBD2">
            <wp:simplePos x="0" y="0"/>
            <wp:positionH relativeFrom="column">
              <wp:posOffset>7</wp:posOffset>
            </wp:positionH>
            <wp:positionV relativeFrom="paragraph">
              <wp:posOffset>542290</wp:posOffset>
            </wp:positionV>
            <wp:extent cx="6336665" cy="4352290"/>
            <wp:effectExtent l="0" t="0" r="0" b="0"/>
            <wp:wrapSquare wrapText="bothSides" distT="0" distB="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6336665" cy="4352290"/>
                    </a:xfrm>
                    <a:prstGeom prst="rect">
                      <a:avLst/>
                    </a:prstGeom>
                    <a:ln/>
                  </pic:spPr>
                </pic:pic>
              </a:graphicData>
            </a:graphic>
          </wp:anchor>
        </w:drawing>
      </w:r>
    </w:p>
    <w:p w:rsidR="00C412AA" w:rsidRPr="00040A18" w:rsidRDefault="00C412AA">
      <w:pPr>
        <w:spacing w:before="240" w:after="240" w:line="276" w:lineRule="auto"/>
        <w:rPr>
          <w:rFonts w:ascii="Calibri" w:eastAsia="Calibri" w:hAnsi="Calibri" w:cs="Calibri"/>
          <w:b/>
          <w:color w:val="000000" w:themeColor="text1"/>
          <w:sz w:val="32"/>
          <w:szCs w:val="32"/>
        </w:rPr>
      </w:pPr>
    </w:p>
    <w:p w:rsidR="00C412AA" w:rsidRPr="00040A18" w:rsidRDefault="00C412AA">
      <w:pPr>
        <w:spacing w:before="240" w:after="240" w:line="276" w:lineRule="auto"/>
        <w:rPr>
          <w:rFonts w:ascii="Calibri" w:eastAsia="Calibri" w:hAnsi="Calibri" w:cs="Calibri"/>
          <w:b/>
          <w:color w:val="000000" w:themeColor="text1"/>
          <w:sz w:val="32"/>
          <w:szCs w:val="3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lastRenderedPageBreak/>
        <w:t>Fertility Europe në bashkëpunim me Forumin Parlamentar Evropian për të drejtat seksuale dhe riprodhuese kanë lançuar Atlasin Evropian të Politikave të Trajtimit të Fertilitetit në një ngjarje më 10 dhjetor 2021.</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Ndër këto vende, 38 kanë ligje të dedikuara për teknologjitë riprodhuese dhe 33 kanë një regjistër kombëtar të veprimtarisë në këtë fushë. 41 vende ofrojnë inseminim me spermë donatore për çiftet heterogjene – megjithatë vetëm 19 vende e ofrojnë këtë për çiftet femra dhe vetëm 30 vende e ofrojnë atë për gratë beqare.</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Financimi u zbulua se mungonte në të gjithë kontinentin. Vetëm 12 vende ofrojnë deri në gjashtë cikle të financuara të IUI (inseminimit intrauterin). Tre vende ofrojnë deri në gjashtë cikle të financuara plotësisht të IVF / ICSI me 35 që e ofrojnë atë të financuar pjesërisht.</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Vetëm dy vende në të dyja anët e kontinentit, përkatësisht Armenia dhe MB kanë një program të organizuar shtetëror për edukimin e fertilitetit që edukon plotësisht të rinjtë rreth kujdesit dhe sfidave të fertilitetit. Për më tepër, në vetëm 13 vende shoqatat e pacientëve konsultohen për politikën publike të fertilitetit.</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Vendet perfekte</w:t>
      </w:r>
    </w:p>
    <w:p w:rsidR="00C412AA" w:rsidRPr="00040A18" w:rsidRDefault="00C412AA">
      <w:pPr>
        <w:spacing w:line="276" w:lineRule="auto"/>
        <w:jc w:val="both"/>
        <w:rPr>
          <w:rFonts w:ascii="Book Antiqua" w:eastAsia="Book Antiqua" w:hAnsi="Book Antiqua" w:cs="Book Antiqua"/>
          <w:b/>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Duke komentuar lançimin, Anita Fincham, Menaxhere e Fertility Europe deklaroi se “Çdo vend meriton të jetë një vend i përsosur me rregullore të mira që u japin akses të barabartë, të sigurt dhe efikas të trajtimit të fertilitetit për të gjithë ata që kanë nevojë; rregullore të mira që marrin në konsideratë të drejtat dhe mirëqenien e të gjitha palëve të përfshira, përfshirë fëmijët dhe donatoretrajtimi i fertilitetit duhet të ofrohet si pjesë e sistemit shëndetësor pa diskriminim ndaj orientimit seksual dhe statusit civil. Ky Atlas është për të mbështetur politikëbërësit evropianë dhe kombëtarë për të kuptuar se si ta bëjnë vendin e tyre të përsosur.</w:t>
      </w:r>
      <w:r w:rsidRPr="00040A18">
        <w:rPr>
          <w:rFonts w:ascii="Book Antiqua" w:eastAsia="Book Antiqua" w:hAnsi="Book Antiqua" w:cs="Book Antiqua"/>
          <w:color w:val="000000" w:themeColor="text1"/>
          <w:sz w:val="22"/>
          <w:szCs w:val="22"/>
          <w:vertAlign w:val="superscript"/>
        </w:rPr>
        <w:footnoteReference w:id="17"/>
      </w:r>
    </w:p>
    <w:p w:rsidR="00C412AA" w:rsidRPr="00040A18" w:rsidRDefault="000A3EAC">
      <w:pPr>
        <w:pBdr>
          <w:top w:val="nil"/>
          <w:left w:val="nil"/>
          <w:bottom w:val="nil"/>
          <w:right w:val="nil"/>
          <w:between w:val="nil"/>
        </w:pBdr>
        <w:shd w:val="clear" w:color="auto" w:fill="F8F9FA"/>
        <w:jc w:val="both"/>
        <w:rPr>
          <w:rFonts w:ascii="Book Antiqua" w:eastAsia="Book Antiqua" w:hAnsi="Book Antiqua" w:cs="Book Antiqua"/>
          <w:color w:val="000000" w:themeColor="text1"/>
        </w:rPr>
      </w:pPr>
      <w:r w:rsidRPr="00040A18">
        <w:rPr>
          <w:rFonts w:ascii="Book Antiqua" w:eastAsia="Book Antiqua" w:hAnsi="Book Antiqua" w:cs="Book Antiqua"/>
          <w:noProof/>
          <w:color w:val="000000" w:themeColor="text1"/>
        </w:rPr>
        <w:lastRenderedPageBreak/>
        <w:drawing>
          <wp:inline distT="0" distB="0" distL="0" distR="0" wp14:anchorId="0A04EBD1" wp14:editId="79D77110">
            <wp:extent cx="5992947" cy="4182806"/>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992947" cy="4182806"/>
                    </a:xfrm>
                    <a:prstGeom prst="rect">
                      <a:avLst/>
                    </a:prstGeom>
                    <a:ln/>
                  </pic:spPr>
                </pic:pic>
              </a:graphicData>
            </a:graphic>
          </wp:inline>
        </w:drawing>
      </w:r>
    </w:p>
    <w:p w:rsidR="00C412AA" w:rsidRPr="00040A18" w:rsidRDefault="00C412AA">
      <w:pPr>
        <w:spacing w:before="240" w:after="240" w:line="276" w:lineRule="auto"/>
        <w:rPr>
          <w:rFonts w:ascii="Calibri" w:eastAsia="Calibri" w:hAnsi="Calibri" w:cs="Calibri"/>
          <w:b/>
          <w:color w:val="000000" w:themeColor="text1"/>
          <w:sz w:val="32"/>
          <w:szCs w:val="32"/>
        </w:rPr>
      </w:pPr>
    </w:p>
    <w:p w:rsidR="00C412AA" w:rsidRPr="00040A18" w:rsidRDefault="00C412AA">
      <w:pPr>
        <w:spacing w:before="240" w:after="240" w:line="276" w:lineRule="auto"/>
        <w:rPr>
          <w:rFonts w:ascii="Calibri" w:eastAsia="Calibri" w:hAnsi="Calibri" w:cs="Calibri"/>
          <w:b/>
          <w:color w:val="000000" w:themeColor="text1"/>
          <w:sz w:val="32"/>
          <w:szCs w:val="32"/>
        </w:rPr>
      </w:pPr>
    </w:p>
    <w:p w:rsidR="00C412AA" w:rsidRPr="00040A18" w:rsidRDefault="000A3EAC">
      <w:pPr>
        <w:numPr>
          <w:ilvl w:val="0"/>
          <w:numId w:val="1"/>
        </w:numPr>
        <w:pBdr>
          <w:top w:val="nil"/>
          <w:left w:val="nil"/>
          <w:bottom w:val="nil"/>
          <w:right w:val="nil"/>
          <w:between w:val="nil"/>
        </w:pBdr>
        <w:spacing w:line="276" w:lineRule="auto"/>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OBJEKTIVAT</w:t>
      </w:r>
    </w:p>
    <w:p w:rsidR="00C412AA" w:rsidRPr="00040A18" w:rsidRDefault="00C412AA">
      <w:pPr>
        <w:pBdr>
          <w:top w:val="nil"/>
          <w:left w:val="nil"/>
          <w:bottom w:val="nil"/>
          <w:right w:val="nil"/>
          <w:between w:val="nil"/>
        </w:pBdr>
        <w:spacing w:line="276" w:lineRule="auto"/>
        <w:ind w:left="720"/>
        <w:rPr>
          <w:rFonts w:ascii="Book Antiqua" w:eastAsia="Book Antiqua" w:hAnsi="Book Antiqua" w:cs="Book Antiqua"/>
          <w:b/>
          <w:color w:val="000000" w:themeColor="text1"/>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Me qëllim të adresimit të sfidave të identifikuara nga të dhënat e bazuara në dëshmi dhe analizimi i dokumenteve relevante, është përcaktuar Objektiva strategjike e këtij dokumenti </w:t>
      </w:r>
      <w:r w:rsidRPr="00040A18">
        <w:rPr>
          <w:rFonts w:ascii="Book Antiqua" w:eastAsia="Book Antiqua" w:hAnsi="Book Antiqua" w:cs="Book Antiqua"/>
          <w:b/>
          <w:i/>
          <w:color w:val="000000" w:themeColor="text1"/>
          <w:sz w:val="22"/>
          <w:szCs w:val="22"/>
        </w:rPr>
        <w:t>‘Ofrimi i shërbimeve të fertilizimit të asistuar mjekësor dhe diagnostikës citogjenetike në Republikën e Kosovës’.</w:t>
      </w:r>
    </w:p>
    <w:p w:rsidR="00C412AA" w:rsidRPr="00040A18" w:rsidRDefault="00C412AA">
      <w:pPr>
        <w:spacing w:line="276" w:lineRule="auto"/>
        <w:rPr>
          <w:rFonts w:ascii="Book Antiqua" w:eastAsia="Book Antiqua" w:hAnsi="Book Antiqua" w:cs="Book Antiqua"/>
          <w:color w:val="000000" w:themeColor="text1"/>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Objektivat specifike:</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numPr>
          <w:ilvl w:val="0"/>
          <w:numId w:val="7"/>
        </w:num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Funksionalizimi i shërbimit për fertilizim të asistuar mjekësor në Qendren Klinike Universitare të Kosovës</w:t>
      </w:r>
    </w:p>
    <w:p w:rsidR="00C412AA" w:rsidRPr="00040A18" w:rsidRDefault="000A3EAC">
      <w:pPr>
        <w:numPr>
          <w:ilvl w:val="0"/>
          <w:numId w:val="7"/>
        </w:num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Funksionalizimi i shërbimit të diagnostikës citogjenetike me amniocentezë në Qendren Klinike Universitare të Kosovës</w:t>
      </w: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0A3EAC">
      <w:pPr>
        <w:numPr>
          <w:ilvl w:val="0"/>
          <w:numId w:val="1"/>
        </w:numPr>
        <w:pBdr>
          <w:top w:val="nil"/>
          <w:left w:val="nil"/>
          <w:bottom w:val="nil"/>
          <w:right w:val="nil"/>
          <w:between w:val="nil"/>
        </w:pBdr>
        <w:spacing w:line="276" w:lineRule="auto"/>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ARANZHIMET E ZBATIMIT, MONITORIMIT DHE RAPORTIMIT</w:t>
      </w: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Aranzhimet e zbatimit, monitorimit dhe raportimit të Planit t</w:t>
      </w:r>
      <w:r w:rsidRPr="00040A18">
        <w:rPr>
          <w:rFonts w:ascii="Calibri" w:eastAsia="Calibri" w:hAnsi="Calibri" w:cs="Calibri"/>
          <w:color w:val="000000" w:themeColor="text1"/>
          <w:sz w:val="22"/>
          <w:szCs w:val="22"/>
        </w:rPr>
        <w:t xml:space="preserve">ë veprimit </w:t>
      </w:r>
      <w:r w:rsidRPr="00040A18">
        <w:rPr>
          <w:rFonts w:ascii="Book Antiqua" w:eastAsia="Book Antiqua" w:hAnsi="Book Antiqua" w:cs="Book Antiqua"/>
          <w:color w:val="000000" w:themeColor="text1"/>
          <w:sz w:val="22"/>
          <w:szCs w:val="22"/>
        </w:rPr>
        <w:t xml:space="preserve">për funksionalizimin e fertilizimit të asistuar mjekësor, citogjenetikës dhe amniocentezës (në vazhdim plani) do të mundësojnë posedim të të dhënave të bazuara në dëshmi lidhur me zbatimin e aktiviteteve dhe arritjen e objektivave të përcaktuara në këtë dokument.  </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Institucion përgjegjës për zbatim të Planit të veprimit do të jetë SHSKUK/ Klinika Obstetrike Gjinekologjike në QKUK.</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Procesi i monitorimit do të jetë proces gjithpërfshirës, ku të gjithë akterët e përfshirë në sistemin e monitorimit dhe vlerësimit do të kontibuojnë për sigurimin e të dhënave gjithëpërfshirëse të nevojshme lidhur me ofrimin e shërbimeve të FAM në institucionet shëndetësore publike dhe private në gjithë vendin. </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Plani i veprimit përfshinë një numër të treguesve në nivele të ndryshme të zbatimit për periudhën kohore të caktuar në dokument.</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0A3EAC">
      <w:pPr>
        <w:spacing w:line="276" w:lineRule="auto"/>
        <w:jc w:val="both"/>
        <w:rPr>
          <w:rFonts w:ascii="Book Antiqua" w:eastAsia="Book Antiqua" w:hAnsi="Book Antiqua" w:cs="Book Antiqua"/>
          <w:color w:val="000000" w:themeColor="text1"/>
          <w:sz w:val="22"/>
          <w:szCs w:val="22"/>
        </w:rPr>
      </w:pPr>
      <w:r w:rsidRPr="00040A18">
        <w:rPr>
          <w:rFonts w:ascii="Book Antiqua" w:eastAsia="Book Antiqua" w:hAnsi="Book Antiqua" w:cs="Book Antiqua"/>
          <w:color w:val="000000" w:themeColor="text1"/>
          <w:sz w:val="22"/>
          <w:szCs w:val="22"/>
        </w:rPr>
        <w:t xml:space="preserve">Do të ketë raportim të rregullt për zbatimin e aktiveteteve, sfidave eventuale dhe rekomandime për ndryshime që do të mundësojë adresimin me kohë të të gjitha çështjeve që kanë ndikim në përmirësim të vazhdueshëm të cilësisë dhe sigurisë së ofrimit të këtyre shërbimeve. </w:t>
      </w:r>
    </w:p>
    <w:p w:rsidR="00C412AA" w:rsidRPr="00040A18" w:rsidRDefault="00C412AA">
      <w:pPr>
        <w:spacing w:line="276" w:lineRule="auto"/>
        <w:jc w:val="both"/>
        <w:rPr>
          <w:rFonts w:ascii="Book Antiqua" w:eastAsia="Book Antiqua" w:hAnsi="Book Antiqua" w:cs="Book Antiqua"/>
          <w:color w:val="000000" w:themeColor="text1"/>
          <w:sz w:val="22"/>
          <w:szCs w:val="22"/>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C412AA">
      <w:pPr>
        <w:spacing w:line="276" w:lineRule="auto"/>
        <w:rPr>
          <w:rFonts w:ascii="Book Antiqua" w:eastAsia="Book Antiqua" w:hAnsi="Book Antiqua" w:cs="Book Antiqua"/>
          <w:b/>
          <w:color w:val="000000" w:themeColor="text1"/>
        </w:rPr>
      </w:pPr>
    </w:p>
    <w:p w:rsidR="00C412AA" w:rsidRPr="00040A18" w:rsidRDefault="000A3EAC">
      <w:pPr>
        <w:numPr>
          <w:ilvl w:val="0"/>
          <w:numId w:val="1"/>
        </w:numPr>
        <w:pBdr>
          <w:top w:val="nil"/>
          <w:left w:val="nil"/>
          <w:bottom w:val="nil"/>
          <w:right w:val="nil"/>
          <w:between w:val="nil"/>
        </w:pBdr>
        <w:spacing w:line="276" w:lineRule="auto"/>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NDIKIMI BUXHETOR DHE ZBATIMI I PLANIT</w:t>
      </w:r>
    </w:p>
    <w:p w:rsidR="00C412AA" w:rsidRPr="00040A18" w:rsidRDefault="00C412AA">
      <w:pPr>
        <w:spacing w:line="276" w:lineRule="auto"/>
        <w:rPr>
          <w:rFonts w:ascii="Book Antiqua" w:eastAsia="Book Antiqua" w:hAnsi="Book Antiqua" w:cs="Book Antiqua"/>
          <w:color w:val="000000" w:themeColor="text1"/>
        </w:rPr>
      </w:pPr>
    </w:p>
    <w:p w:rsidR="00C412AA" w:rsidRPr="00040A18" w:rsidRDefault="000A3EAC">
      <w:pPr>
        <w:spacing w:line="276" w:lineRule="auto"/>
        <w:jc w:val="both"/>
        <w:rPr>
          <w:rFonts w:ascii="Book Antiqua" w:eastAsia="Book Antiqua" w:hAnsi="Book Antiqua" w:cs="Book Antiqua"/>
          <w:color w:val="000000" w:themeColor="text1"/>
          <w:sz w:val="22"/>
          <w:szCs w:val="22"/>
        </w:rPr>
        <w:sectPr w:rsidR="00C412AA" w:rsidRPr="00040A18">
          <w:pgSz w:w="12240" w:h="15840"/>
          <w:pgMar w:top="1440" w:right="1440" w:bottom="1440" w:left="1440" w:header="720" w:footer="720" w:gutter="0"/>
          <w:pgNumType w:start="1"/>
          <w:cols w:space="720"/>
        </w:sectPr>
      </w:pPr>
      <w:r w:rsidRPr="00040A18">
        <w:rPr>
          <w:rFonts w:ascii="Book Antiqua" w:eastAsia="Book Antiqua" w:hAnsi="Book Antiqua" w:cs="Book Antiqua"/>
          <w:color w:val="000000" w:themeColor="text1"/>
          <w:sz w:val="22"/>
          <w:szCs w:val="22"/>
        </w:rPr>
        <w:t xml:space="preserve">Arsyetimi financiar i planit të veprimit të FAM në QKUK bazohet në kostot e shërbimeve të ofruara. </w:t>
      </w:r>
    </w:p>
    <w:p w:rsidR="00C412AA" w:rsidRPr="00040A18" w:rsidRDefault="00C412AA">
      <w:pPr>
        <w:rPr>
          <w:rFonts w:ascii="Book Antiqua" w:eastAsia="Book Antiqua" w:hAnsi="Book Antiqua" w:cs="Book Antiqua"/>
          <w:b/>
          <w:color w:val="000000" w:themeColor="text1"/>
          <w:sz w:val="56"/>
          <w:szCs w:val="56"/>
        </w:rPr>
      </w:pPr>
    </w:p>
    <w:p w:rsidR="00C412AA" w:rsidRPr="00040A18" w:rsidRDefault="00C412AA">
      <w:pPr>
        <w:spacing w:after="200" w:line="276" w:lineRule="auto"/>
        <w:jc w:val="center"/>
        <w:rPr>
          <w:rFonts w:ascii="Book Antiqua" w:eastAsia="Book Antiqua" w:hAnsi="Book Antiqua" w:cs="Book Antiqua"/>
          <w:b/>
          <w:color w:val="000000" w:themeColor="text1"/>
          <w:sz w:val="56"/>
          <w:szCs w:val="56"/>
        </w:rPr>
      </w:pPr>
    </w:p>
    <w:p w:rsidR="00C412AA" w:rsidRPr="00040A18" w:rsidRDefault="00C412AA">
      <w:pPr>
        <w:spacing w:after="200" w:line="276" w:lineRule="auto"/>
        <w:jc w:val="center"/>
        <w:rPr>
          <w:rFonts w:ascii="Book Antiqua" w:eastAsia="Book Antiqua" w:hAnsi="Book Antiqua" w:cs="Book Antiqua"/>
          <w:b/>
          <w:color w:val="000000" w:themeColor="text1"/>
          <w:sz w:val="56"/>
          <w:szCs w:val="56"/>
        </w:rPr>
      </w:pPr>
    </w:p>
    <w:p w:rsidR="00C412AA" w:rsidRPr="00040A18" w:rsidRDefault="000A3EAC">
      <w:pPr>
        <w:spacing w:after="200" w:line="276" w:lineRule="auto"/>
        <w:jc w:val="center"/>
        <w:rPr>
          <w:rFonts w:ascii="Book Antiqua" w:eastAsia="Book Antiqua" w:hAnsi="Book Antiqua" w:cs="Book Antiqua"/>
          <w:b/>
          <w:color w:val="000000" w:themeColor="text1"/>
          <w:sz w:val="56"/>
          <w:szCs w:val="56"/>
        </w:rPr>
      </w:pPr>
      <w:r w:rsidRPr="00040A18">
        <w:rPr>
          <w:rFonts w:ascii="Book Antiqua" w:eastAsia="Book Antiqua" w:hAnsi="Book Antiqua" w:cs="Book Antiqua"/>
          <w:b/>
          <w:color w:val="000000" w:themeColor="text1"/>
          <w:sz w:val="56"/>
          <w:szCs w:val="56"/>
        </w:rPr>
        <w:t>PLANI I VEPRIMIT</w:t>
      </w:r>
    </w:p>
    <w:p w:rsidR="00C412AA" w:rsidRPr="00040A18" w:rsidRDefault="000A3EAC">
      <w:pPr>
        <w:spacing w:after="200" w:line="276" w:lineRule="auto"/>
        <w:jc w:val="center"/>
        <w:rPr>
          <w:rFonts w:ascii="Book Antiqua" w:eastAsia="Book Antiqua" w:hAnsi="Book Antiqua" w:cs="Book Antiqua"/>
          <w:b/>
          <w:color w:val="000000" w:themeColor="text1"/>
          <w:sz w:val="56"/>
          <w:szCs w:val="56"/>
        </w:rPr>
      </w:pPr>
      <w:r w:rsidRPr="00040A18">
        <w:rPr>
          <w:rFonts w:ascii="Book Antiqua" w:eastAsia="Book Antiqua" w:hAnsi="Book Antiqua" w:cs="Book Antiqua"/>
          <w:b/>
          <w:color w:val="000000" w:themeColor="text1"/>
          <w:sz w:val="56"/>
          <w:szCs w:val="56"/>
        </w:rPr>
        <w:t>2023 - 2025</w:t>
      </w:r>
    </w:p>
    <w:p w:rsidR="00C412AA" w:rsidRPr="00040A18" w:rsidRDefault="00C412AA">
      <w:pPr>
        <w:tabs>
          <w:tab w:val="left" w:pos="4695"/>
        </w:tabs>
        <w:spacing w:after="200" w:line="276" w:lineRule="auto"/>
        <w:jc w:val="center"/>
        <w:rPr>
          <w:rFonts w:ascii="Book Antiqua" w:eastAsia="Book Antiqua" w:hAnsi="Book Antiqua" w:cs="Book Antiqua"/>
          <w:b/>
          <w:color w:val="000000" w:themeColor="text1"/>
          <w:sz w:val="56"/>
          <w:szCs w:val="56"/>
        </w:rPr>
      </w:pPr>
    </w:p>
    <w:p w:rsidR="00C412AA" w:rsidRPr="00040A18" w:rsidRDefault="00C412AA">
      <w:pPr>
        <w:spacing w:after="160" w:line="259" w:lineRule="auto"/>
        <w:rPr>
          <w:rFonts w:ascii="Book Antiqua" w:eastAsia="Book Antiqua" w:hAnsi="Book Antiqua" w:cs="Book Antiqua"/>
          <w:color w:val="000000" w:themeColor="text1"/>
        </w:rPr>
      </w:pPr>
    </w:p>
    <w:p w:rsidR="00C412AA" w:rsidRPr="00040A18" w:rsidRDefault="00C412AA">
      <w:pPr>
        <w:spacing w:after="160" w:line="259" w:lineRule="auto"/>
        <w:rPr>
          <w:rFonts w:ascii="Book Antiqua" w:eastAsia="Book Antiqua" w:hAnsi="Book Antiqua" w:cs="Book Antiqua"/>
          <w:color w:val="000000" w:themeColor="text1"/>
        </w:rPr>
      </w:pPr>
    </w:p>
    <w:p w:rsidR="00C412AA" w:rsidRPr="00040A18" w:rsidRDefault="00C412AA">
      <w:pPr>
        <w:spacing w:after="160" w:line="259" w:lineRule="auto"/>
        <w:rPr>
          <w:rFonts w:ascii="Book Antiqua" w:eastAsia="Book Antiqua" w:hAnsi="Book Antiqua" w:cs="Book Antiqua"/>
          <w:color w:val="000000" w:themeColor="text1"/>
        </w:rPr>
      </w:pPr>
    </w:p>
    <w:p w:rsidR="00C412AA" w:rsidRPr="00040A18" w:rsidRDefault="00C412AA">
      <w:pPr>
        <w:spacing w:after="160" w:line="259" w:lineRule="auto"/>
        <w:rPr>
          <w:rFonts w:ascii="Book Antiqua" w:eastAsia="Book Antiqua" w:hAnsi="Book Antiqua" w:cs="Book Antiqua"/>
          <w:color w:val="000000" w:themeColor="text1"/>
        </w:rPr>
      </w:pPr>
    </w:p>
    <w:p w:rsidR="00C412AA" w:rsidRPr="00040A18" w:rsidRDefault="00C412AA">
      <w:pPr>
        <w:spacing w:after="160" w:line="259" w:lineRule="auto"/>
        <w:rPr>
          <w:rFonts w:ascii="Book Antiqua" w:eastAsia="Book Antiqua" w:hAnsi="Book Antiqua" w:cs="Book Antiqua"/>
          <w:color w:val="000000" w:themeColor="text1"/>
        </w:rPr>
      </w:pPr>
    </w:p>
    <w:p w:rsidR="00C412AA" w:rsidRPr="00040A18" w:rsidRDefault="00C412AA">
      <w:pPr>
        <w:spacing w:after="160" w:line="259" w:lineRule="auto"/>
        <w:rPr>
          <w:rFonts w:ascii="Book Antiqua" w:eastAsia="Book Antiqua" w:hAnsi="Book Antiqua" w:cs="Book Antiqua"/>
          <w:color w:val="000000" w:themeColor="text1"/>
        </w:rPr>
      </w:pPr>
    </w:p>
    <w:p w:rsidR="00C412AA" w:rsidRPr="00040A18" w:rsidRDefault="00C412AA">
      <w:pPr>
        <w:spacing w:after="160" w:line="259" w:lineRule="auto"/>
        <w:rPr>
          <w:rFonts w:ascii="Book Antiqua" w:eastAsia="Book Antiqua" w:hAnsi="Book Antiqua" w:cs="Book Antiqua"/>
          <w:color w:val="000000" w:themeColor="text1"/>
        </w:rPr>
      </w:pPr>
    </w:p>
    <w:p w:rsidR="00C412AA" w:rsidRPr="00040A18" w:rsidRDefault="00C412AA">
      <w:pPr>
        <w:spacing w:after="160" w:line="259" w:lineRule="auto"/>
        <w:rPr>
          <w:rFonts w:ascii="Book Antiqua" w:eastAsia="Book Antiqua" w:hAnsi="Book Antiqua" w:cs="Book Antiqua"/>
          <w:color w:val="000000" w:themeColor="text1"/>
        </w:rPr>
      </w:pPr>
    </w:p>
    <w:p w:rsidR="00C412AA" w:rsidRPr="00040A18" w:rsidRDefault="00C412AA">
      <w:pPr>
        <w:spacing w:after="240"/>
        <w:rPr>
          <w:color w:val="000000" w:themeColor="text1"/>
        </w:rPr>
      </w:pPr>
    </w:p>
    <w:tbl>
      <w:tblPr>
        <w:tblStyle w:val="a1"/>
        <w:tblW w:w="11515" w:type="dxa"/>
        <w:jc w:val="center"/>
        <w:tblBorders>
          <w:top w:val="single" w:sz="8" w:space="0" w:color="5B9BD5"/>
          <w:left w:val="single" w:sz="4" w:space="0" w:color="000000"/>
          <w:bottom w:val="single" w:sz="8" w:space="0" w:color="5B9BD5"/>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895"/>
        <w:gridCol w:w="990"/>
        <w:gridCol w:w="810"/>
        <w:gridCol w:w="810"/>
        <w:gridCol w:w="1350"/>
        <w:gridCol w:w="1440"/>
        <w:gridCol w:w="1440"/>
        <w:gridCol w:w="1350"/>
      </w:tblGrid>
      <w:tr w:rsidR="00040A18" w:rsidRPr="00040A18">
        <w:trPr>
          <w:trHeight w:val="440"/>
          <w:jc w:val="center"/>
        </w:trPr>
        <w:tc>
          <w:tcPr>
            <w:tcW w:w="11515" w:type="dxa"/>
            <w:gridSpan w:val="9"/>
            <w:tcBorders>
              <w:top w:val="single" w:sz="4" w:space="0" w:color="000000"/>
              <w:left w:val="single" w:sz="4" w:space="0" w:color="000000"/>
              <w:bottom w:val="single" w:sz="4" w:space="0" w:color="000000"/>
              <w:right w:val="single" w:sz="4" w:space="0" w:color="000000"/>
            </w:tcBorders>
            <w:shd w:val="clear" w:color="auto" w:fill="FBE5D5"/>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Plani i veprimit për fertilizim të asistuar mjekësor dhe citogjenetikë</w:t>
            </w:r>
          </w:p>
        </w:tc>
      </w:tr>
      <w:tr w:rsidR="00040A18" w:rsidRPr="00040A18">
        <w:trPr>
          <w:trHeight w:val="260"/>
          <w:jc w:val="center"/>
        </w:trPr>
        <w:tc>
          <w:tcPr>
            <w:tcW w:w="11515" w:type="dxa"/>
            <w:gridSpan w:val="9"/>
            <w:tcBorders>
              <w:top w:val="single" w:sz="4" w:space="0" w:color="000000"/>
              <w:left w:val="single" w:sz="4" w:space="0" w:color="000000"/>
              <w:bottom w:val="single" w:sz="4" w:space="0" w:color="000000"/>
              <w:right w:val="single" w:sz="4" w:space="0" w:color="000000"/>
            </w:tcBorders>
            <w:shd w:val="clear" w:color="auto" w:fill="FBE5D5"/>
            <w:tcMar>
              <w:top w:w="0" w:type="dxa"/>
              <w:left w:w="115" w:type="dxa"/>
              <w:bottom w:w="0" w:type="dxa"/>
              <w:right w:w="115" w:type="dxa"/>
            </w:tcMar>
          </w:tcPr>
          <w:p w:rsidR="00C412AA" w:rsidRPr="00040A18" w:rsidRDefault="000A3EAC">
            <w:pPr>
              <w:jc w:val="center"/>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Objektiva strategjike</w:t>
            </w:r>
          </w:p>
          <w:p w:rsidR="00C412AA" w:rsidRPr="00040A18" w:rsidRDefault="000A3EAC">
            <w:pPr>
              <w:spacing w:line="276" w:lineRule="auto"/>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rPr>
              <w:t>Ofrimi i shërbimeve të fertilizimit të asistuar mjekësor dhe diagnostikës citogjenetikë në Republikën e Kosovës</w:t>
            </w:r>
          </w:p>
        </w:tc>
      </w:tr>
      <w:tr w:rsidR="00040A18" w:rsidRPr="00040A18">
        <w:trPr>
          <w:trHeight w:val="26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Objektiva specifike 1</w:t>
            </w:r>
          </w:p>
        </w:tc>
        <w:tc>
          <w:tcPr>
            <w:tcW w:w="4855" w:type="dxa"/>
            <w:gridSpan w:val="5"/>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rsidR="00C412AA" w:rsidRPr="00040A18" w:rsidRDefault="00C412AA">
            <w:pPr>
              <w:rPr>
                <w:rFonts w:ascii="Book Antiqua" w:eastAsia="Book Antiqua" w:hAnsi="Book Antiqua" w:cs="Book Antiqua"/>
                <w:color w:val="000000" w:themeColor="text1"/>
                <w:sz w:val="20"/>
                <w:szCs w:val="20"/>
              </w:rPr>
            </w:pPr>
          </w:p>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Indikatori (-ët) për matjen e arritjes së objektivës</w:t>
            </w:r>
          </w:p>
        </w:tc>
        <w:tc>
          <w:tcPr>
            <w:tcW w:w="144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Baza</w:t>
            </w:r>
          </w:p>
        </w:tc>
        <w:tc>
          <w:tcPr>
            <w:tcW w:w="144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Caku 2023</w:t>
            </w:r>
          </w:p>
        </w:tc>
        <w:tc>
          <w:tcPr>
            <w:tcW w:w="135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rsidR="00C412AA" w:rsidRPr="00040A18" w:rsidRDefault="00C412AA">
            <w:pPr>
              <w:rPr>
                <w:rFonts w:ascii="Book Antiqua" w:eastAsia="Book Antiqua" w:hAnsi="Book Antiqua" w:cs="Book Antiqua"/>
                <w:color w:val="000000" w:themeColor="text1"/>
                <w:sz w:val="20"/>
                <w:szCs w:val="20"/>
              </w:rPr>
            </w:pPr>
          </w:p>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Caku 2025</w:t>
            </w:r>
          </w:p>
          <w:p w:rsidR="00C412AA" w:rsidRPr="00040A18" w:rsidRDefault="00C412AA">
            <w:pPr>
              <w:rPr>
                <w:rFonts w:ascii="Book Antiqua" w:eastAsia="Book Antiqua" w:hAnsi="Book Antiqua" w:cs="Book Antiqua"/>
                <w:color w:val="000000" w:themeColor="text1"/>
                <w:sz w:val="20"/>
                <w:szCs w:val="20"/>
              </w:rPr>
            </w:pPr>
          </w:p>
        </w:tc>
      </w:tr>
      <w:tr w:rsidR="00040A18" w:rsidRPr="00040A18">
        <w:trPr>
          <w:trHeight w:val="190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spacing w:after="200"/>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Funksionalizimi i shërbimit për frytnimit të asistuar mjekësor në Qendren Klinike Universitare të Kosovës</w:t>
            </w:r>
          </w:p>
          <w:p w:rsidR="00C412AA" w:rsidRPr="00040A18" w:rsidRDefault="00C412AA">
            <w:pPr>
              <w:rPr>
                <w:rFonts w:ascii="Book Antiqua" w:eastAsia="Book Antiqua" w:hAnsi="Book Antiqua" w:cs="Book Antiqua"/>
                <w:color w:val="000000" w:themeColor="text1"/>
              </w:rPr>
            </w:pPr>
          </w:p>
        </w:tc>
        <w:tc>
          <w:tcPr>
            <w:tcW w:w="4855"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numPr>
                <w:ilvl w:val="0"/>
                <w:numId w:val="8"/>
              </w:num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Numri i rasteve që marrin shërbime të FAM në QKUK</w:t>
            </w:r>
          </w:p>
          <w:p w:rsidR="00C412AA" w:rsidRPr="00040A18" w:rsidRDefault="000A3EAC">
            <w:pPr>
              <w:numPr>
                <w:ilvl w:val="0"/>
                <w:numId w:val="8"/>
              </w:num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Numri i UPK- ve të hartuara</w:t>
            </w:r>
          </w:p>
          <w:p w:rsidR="00C412AA" w:rsidRPr="00040A18" w:rsidRDefault="000A3EAC">
            <w:pPr>
              <w:ind w:left="720"/>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ab/>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0</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50</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200</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4</w:t>
            </w:r>
          </w:p>
        </w:tc>
      </w:tr>
      <w:tr w:rsidR="00040A18" w:rsidRPr="00040A18">
        <w:trPr>
          <w:trHeight w:val="540"/>
          <w:jc w:val="center"/>
        </w:trPr>
        <w:tc>
          <w:tcPr>
            <w:tcW w:w="243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Aktiviteti</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Afati i zbatimit</w:t>
            </w:r>
          </w:p>
        </w:tc>
        <w:tc>
          <w:tcPr>
            <w:tcW w:w="261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Kostoja totale (euro)</w:t>
            </w:r>
          </w:p>
        </w:tc>
        <w:tc>
          <w:tcPr>
            <w:tcW w:w="135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Burimi i financimit</w:t>
            </w:r>
          </w:p>
        </w:tc>
        <w:tc>
          <w:tcPr>
            <w:tcW w:w="14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Inst.</w:t>
            </w:r>
          </w:p>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Udhëheqës</w:t>
            </w:r>
          </w:p>
        </w:tc>
        <w:tc>
          <w:tcPr>
            <w:tcW w:w="14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Inst. mbështetës</w:t>
            </w:r>
          </w:p>
        </w:tc>
        <w:tc>
          <w:tcPr>
            <w:tcW w:w="135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Produkti</w:t>
            </w:r>
          </w:p>
        </w:tc>
      </w:tr>
      <w:tr w:rsidR="00040A18" w:rsidRPr="00040A18">
        <w:trPr>
          <w:trHeight w:val="260"/>
          <w:jc w:val="center"/>
        </w:trPr>
        <w:tc>
          <w:tcPr>
            <w:tcW w:w="243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sz w:val="20"/>
                <w:szCs w:val="20"/>
              </w:rPr>
            </w:pPr>
          </w:p>
        </w:tc>
        <w:tc>
          <w:tcPr>
            <w:tcW w:w="8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sz w:val="20"/>
                <w:szCs w:val="20"/>
              </w:rPr>
            </w:pP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Viti 1</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Viti 2</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b/>
                <w:color w:val="000000" w:themeColor="text1"/>
                <w:sz w:val="20"/>
                <w:szCs w:val="20"/>
              </w:rPr>
              <w:t>Viti 3</w:t>
            </w:r>
          </w:p>
        </w:tc>
        <w:tc>
          <w:tcPr>
            <w:tcW w:w="13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sz w:val="20"/>
                <w:szCs w:val="20"/>
              </w:rPr>
            </w:pPr>
          </w:p>
        </w:tc>
        <w:tc>
          <w:tcPr>
            <w:tcW w:w="14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sz w:val="20"/>
                <w:szCs w:val="20"/>
              </w:rPr>
            </w:pPr>
          </w:p>
        </w:tc>
        <w:tc>
          <w:tcPr>
            <w:tcW w:w="14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sz w:val="20"/>
                <w:szCs w:val="20"/>
              </w:rPr>
            </w:pPr>
          </w:p>
        </w:tc>
        <w:tc>
          <w:tcPr>
            <w:tcW w:w="13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sz w:val="20"/>
                <w:szCs w:val="20"/>
              </w:rPr>
            </w:pPr>
          </w:p>
        </w:tc>
      </w:tr>
      <w:tr w:rsidR="00040A18" w:rsidRPr="00040A18">
        <w:trPr>
          <w:trHeight w:val="82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1.1.Pranimi teknik i hapësirave punuese të posa renovuara</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TM 4 2022</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 xml:space="preserve">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KOGJ,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Raporti i pranimit</w:t>
            </w:r>
          </w:p>
        </w:tc>
      </w:tr>
      <w:tr w:rsidR="00040A18" w:rsidRPr="00040A18">
        <w:trPr>
          <w:trHeight w:val="82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1.2. Përgaditja e listës së pajisjeve të nevojshme</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TM 4</w:t>
            </w:r>
          </w:p>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2022</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KOGJ,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Lista e pajisjeve</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1.3. Sigurimi i pajisjeve të nevojshme</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TM 1</w:t>
            </w:r>
          </w:p>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2023</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800,000</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MSh /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KOGJ,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Pajisjet e siguruara</w:t>
            </w:r>
          </w:p>
        </w:tc>
      </w:tr>
      <w:tr w:rsidR="00040A18" w:rsidRPr="00040A18">
        <w:trPr>
          <w:trHeight w:val="82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1.4. Hartimi i udhërrëfyesve dhe protokoleve për FAM</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2024-2025</w:t>
            </w:r>
          </w:p>
          <w:p w:rsidR="00C412AA" w:rsidRPr="00040A18" w:rsidRDefault="00C412AA">
            <w:pPr>
              <w:jc w:val="center"/>
              <w:rPr>
                <w:rFonts w:ascii="Book Antiqua" w:eastAsia="Book Antiqua" w:hAnsi="Book Antiqua" w:cs="Book Antiqua"/>
                <w:color w:val="000000" w:themeColor="text1"/>
                <w:sz w:val="20"/>
                <w:szCs w:val="20"/>
              </w:rPr>
            </w:pP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MSh,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3 Udhërrefyesi dhe protokolet klinike p</w:t>
            </w:r>
            <w:r w:rsidRPr="00040A18">
              <w:rPr>
                <w:color w:val="000000" w:themeColor="text1"/>
                <w:sz w:val="20"/>
                <w:szCs w:val="20"/>
              </w:rPr>
              <w:t>ë</w:t>
            </w:r>
            <w:r w:rsidRPr="00040A18">
              <w:rPr>
                <w:rFonts w:ascii="Book Antiqua" w:eastAsia="Book Antiqua" w:hAnsi="Book Antiqua" w:cs="Book Antiqua"/>
                <w:color w:val="000000" w:themeColor="text1"/>
                <w:sz w:val="20"/>
                <w:szCs w:val="20"/>
              </w:rPr>
              <w:t>r FAM të miratuar</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lastRenderedPageBreak/>
              <w:t>1.5. Hartimi i procedurave standarde operative dhe kritereve për trajtim me FAM</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jc w:val="center"/>
              <w:rPr>
                <w:rFonts w:ascii="Book Antiqua" w:eastAsia="Book Antiqua" w:hAnsi="Book Antiqua" w:cs="Book Antiqua"/>
                <w:color w:val="000000" w:themeColor="text1"/>
                <w:sz w:val="20"/>
                <w:szCs w:val="20"/>
              </w:rPr>
            </w:pPr>
          </w:p>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2023</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MSh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MSh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1 PSO e miratuar</w:t>
            </w:r>
          </w:p>
          <w:p w:rsidR="00C412AA" w:rsidRPr="00040A18" w:rsidRDefault="00C412AA">
            <w:pPr>
              <w:rPr>
                <w:rFonts w:ascii="Book Antiqua" w:eastAsia="Book Antiqua" w:hAnsi="Book Antiqua" w:cs="Book Antiqua"/>
                <w:color w:val="000000" w:themeColor="text1"/>
                <w:sz w:val="20"/>
                <w:szCs w:val="20"/>
              </w:rPr>
            </w:pPr>
          </w:p>
          <w:p w:rsidR="00C412AA" w:rsidRPr="00040A18" w:rsidRDefault="00C412AA">
            <w:pPr>
              <w:rPr>
                <w:rFonts w:ascii="Book Antiqua" w:eastAsia="Book Antiqua" w:hAnsi="Book Antiqua" w:cs="Book Antiqua"/>
                <w:color w:val="000000" w:themeColor="text1"/>
                <w:sz w:val="20"/>
                <w:szCs w:val="20"/>
              </w:rPr>
            </w:pPr>
          </w:p>
          <w:p w:rsidR="00C412AA" w:rsidRPr="00040A18" w:rsidRDefault="00C412AA">
            <w:pPr>
              <w:rPr>
                <w:rFonts w:ascii="Book Antiqua" w:eastAsia="Book Antiqua" w:hAnsi="Book Antiqua" w:cs="Book Antiqua"/>
                <w:color w:val="000000" w:themeColor="text1"/>
                <w:sz w:val="20"/>
                <w:szCs w:val="20"/>
              </w:rPr>
            </w:pP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1.6. Standardizimi i dokumentacionit mjekësor për FAM</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TM 4 2024</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 xml:space="preserve">MSh /KFAM </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Dokumentacioni i standardizuar</w:t>
            </w:r>
          </w:p>
          <w:p w:rsidR="00C412AA" w:rsidRPr="00040A18" w:rsidRDefault="00C412AA">
            <w:pPr>
              <w:rPr>
                <w:rFonts w:ascii="Book Antiqua" w:eastAsia="Book Antiqua" w:hAnsi="Book Antiqua" w:cs="Book Antiqua"/>
                <w:color w:val="000000" w:themeColor="text1"/>
                <w:sz w:val="20"/>
                <w:szCs w:val="20"/>
              </w:rPr>
            </w:pP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 xml:space="preserve">1.7 Mirëmbajtja e pajisjeve </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2023 - 2025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Mirëmbajtja e pajisjeve</w:t>
            </w:r>
          </w:p>
          <w:p w:rsidR="00C412AA" w:rsidRPr="00040A18" w:rsidRDefault="00C412AA">
            <w:pPr>
              <w:rPr>
                <w:rFonts w:ascii="Book Antiqua" w:eastAsia="Book Antiqua" w:hAnsi="Book Antiqua" w:cs="Book Antiqua"/>
                <w:color w:val="000000" w:themeColor="text1"/>
                <w:sz w:val="20"/>
                <w:szCs w:val="20"/>
              </w:rPr>
            </w:pPr>
          </w:p>
        </w:tc>
      </w:tr>
      <w:tr w:rsidR="00040A18" w:rsidRPr="00040A18">
        <w:trPr>
          <w:trHeight w:val="1025"/>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1.8 .Sigurimi i materialit shpenzues</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2023 - 2025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 xml:space="preserve">100.000 </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sz w:val="20"/>
                <w:szCs w:val="20"/>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sz w:val="20"/>
                <w:szCs w:val="20"/>
              </w:rPr>
            </w:pPr>
            <w:r w:rsidRPr="00040A18">
              <w:rPr>
                <w:rFonts w:ascii="Book Antiqua" w:eastAsia="Book Antiqua" w:hAnsi="Book Antiqua" w:cs="Book Antiqua"/>
                <w:color w:val="000000" w:themeColor="text1"/>
                <w:sz w:val="20"/>
                <w:szCs w:val="20"/>
              </w:rPr>
              <w:t>Material shpenzues për shërbime</w:t>
            </w:r>
          </w:p>
        </w:tc>
      </w:tr>
      <w:tr w:rsidR="00040A18" w:rsidRPr="00040A18">
        <w:trPr>
          <w:trHeight w:val="872"/>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1.9. Integrimi i të dhënave në SISh</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sz w:val="20"/>
                <w:szCs w:val="20"/>
              </w:rPr>
              <w:t>MSh</w:t>
            </w:r>
            <w:r w:rsidRPr="00040A18">
              <w:rPr>
                <w:rFonts w:ascii="Book Antiqua" w:eastAsia="Book Antiqua" w:hAnsi="Book Antiqua" w:cs="Book Antiqua"/>
                <w:color w:val="000000" w:themeColor="text1"/>
              </w:rPr>
              <w:t xml:space="preserve">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Të dhënat e përfshira në SISH</w:t>
            </w:r>
          </w:p>
        </w:tc>
      </w:tr>
      <w:tr w:rsidR="00040A18" w:rsidRPr="00040A18">
        <w:trPr>
          <w:trHeight w:val="122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1.10 Zhvillim I vazhdueshëm profesional</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sz w:val="20"/>
                <w:szCs w:val="20"/>
              </w:rPr>
              <w:t>MSh</w:t>
            </w:r>
            <w:r w:rsidRPr="00040A18">
              <w:rPr>
                <w:rFonts w:ascii="Book Antiqua" w:eastAsia="Book Antiqua" w:hAnsi="Book Antiqua" w:cs="Book Antiqua"/>
                <w:color w:val="000000" w:themeColor="text1"/>
              </w:rPr>
              <w:t>,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10 Profesionistë shëndetësor të trajnuar</w:t>
            </w:r>
          </w:p>
        </w:tc>
      </w:tr>
      <w:tr w:rsidR="00040A18" w:rsidRPr="00040A18">
        <w:trPr>
          <w:trHeight w:val="1565"/>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1.11. Vizitë studimore për menaxhim të shërbimeve të FAM /vizita të ekspertëve të jashtëm</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3 vizita studimore</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nga 3 pjesëmarrës</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Raport nga vizita</w:t>
            </w:r>
          </w:p>
        </w:tc>
      </w:tr>
      <w:tr w:rsidR="00040A18" w:rsidRPr="00040A18">
        <w:trPr>
          <w:trHeight w:val="80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lastRenderedPageBreak/>
              <w:t>1.12. Plotësim ndryshimi I UA për bashkëpagesa 04/2007 për shërbime të reja(FAM dhe citogjenetikë)</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UA i plotësuar/ndryshuar</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rsidR="00C412AA" w:rsidRPr="00040A18" w:rsidRDefault="000A3EAC">
            <w:pPr>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Objektiva specifike 2</w:t>
            </w:r>
          </w:p>
        </w:tc>
        <w:tc>
          <w:tcPr>
            <w:tcW w:w="4855" w:type="dxa"/>
            <w:gridSpan w:val="5"/>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rsidR="00C412AA" w:rsidRPr="00040A18" w:rsidRDefault="00C412AA">
            <w:pPr>
              <w:rPr>
                <w:rFonts w:ascii="Book Antiqua" w:eastAsia="Book Antiqua" w:hAnsi="Book Antiqua" w:cs="Book Antiqua"/>
                <w:color w:val="000000" w:themeColor="text1"/>
              </w:rPr>
            </w:pP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Indikatori (-ët) për matjen e arritjes së objektivës</w:t>
            </w:r>
          </w:p>
        </w:tc>
        <w:tc>
          <w:tcPr>
            <w:tcW w:w="144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Baza</w:t>
            </w:r>
          </w:p>
        </w:tc>
        <w:tc>
          <w:tcPr>
            <w:tcW w:w="144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rsidR="00C412AA" w:rsidRPr="00040A18" w:rsidRDefault="000A3EAC">
            <w:pPr>
              <w:rPr>
                <w:rFonts w:ascii="Book Antiqua" w:eastAsia="Book Antiqua" w:hAnsi="Book Antiqua" w:cs="Book Antiqua"/>
                <w:b/>
                <w:color w:val="000000" w:themeColor="text1"/>
              </w:rPr>
            </w:pPr>
            <w:r w:rsidRPr="00040A18">
              <w:rPr>
                <w:rFonts w:ascii="Book Antiqua" w:eastAsia="Book Antiqua" w:hAnsi="Book Antiqua" w:cs="Book Antiqua"/>
                <w:b/>
                <w:color w:val="000000" w:themeColor="text1"/>
              </w:rPr>
              <w:t>Caku 2023</w:t>
            </w:r>
          </w:p>
        </w:tc>
        <w:tc>
          <w:tcPr>
            <w:tcW w:w="135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rsidR="00C412AA" w:rsidRPr="00040A18" w:rsidRDefault="00C412AA">
            <w:pPr>
              <w:rPr>
                <w:rFonts w:ascii="Book Antiqua" w:eastAsia="Book Antiqua" w:hAnsi="Book Antiqua" w:cs="Book Antiqua"/>
                <w:color w:val="000000" w:themeColor="text1"/>
              </w:rPr>
            </w:pP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Caku 2025</w:t>
            </w:r>
          </w:p>
          <w:p w:rsidR="00C412AA" w:rsidRPr="00040A18" w:rsidRDefault="00C412AA">
            <w:pPr>
              <w:rPr>
                <w:rFonts w:ascii="Book Antiqua" w:eastAsia="Book Antiqua" w:hAnsi="Book Antiqua" w:cs="Book Antiqua"/>
                <w:color w:val="000000" w:themeColor="text1"/>
              </w:rPr>
            </w:pPr>
          </w:p>
        </w:tc>
      </w:tr>
      <w:tr w:rsidR="00040A18" w:rsidRPr="00040A18">
        <w:trPr>
          <w:trHeight w:val="2168"/>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spacing w:after="200"/>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Funksionalizimi i shërbimit të diagnostikës citogjenetike në Qendrën Klinike Universitare të Kosovës</w:t>
            </w:r>
          </w:p>
        </w:tc>
        <w:tc>
          <w:tcPr>
            <w:tcW w:w="4855"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numPr>
                <w:ilvl w:val="0"/>
                <w:numId w:val="10"/>
              </w:num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Numri i pacienteve të cileve u janë ofruar shërbimet e analizës citogjenetike të lëngut amniotik</w:t>
            </w:r>
          </w:p>
          <w:p w:rsidR="00C412AA" w:rsidRPr="00040A18" w:rsidRDefault="00C412AA">
            <w:pPr>
              <w:ind w:left="720"/>
              <w:rPr>
                <w:rFonts w:ascii="Book Antiqua" w:eastAsia="Book Antiqua" w:hAnsi="Book Antiqua" w:cs="Book Antiqua"/>
                <w:color w:val="000000" w:themeColor="text1"/>
              </w:rPr>
            </w:pPr>
          </w:p>
          <w:p w:rsidR="00C412AA" w:rsidRPr="00040A18" w:rsidRDefault="000A3EAC">
            <w:pPr>
              <w:numPr>
                <w:ilvl w:val="0"/>
                <w:numId w:val="10"/>
              </w:num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Numri i pacientëve të cilëve u janë ofruar shërbimet e PGT</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jc w:val="both"/>
              <w:rPr>
                <w:rFonts w:ascii="Book Antiqua" w:eastAsia="Book Antiqua" w:hAnsi="Book Antiqua" w:cs="Book Antiqua"/>
                <w:color w:val="000000" w:themeColor="text1"/>
              </w:rPr>
            </w:pPr>
          </w:p>
          <w:p w:rsidR="00C412AA" w:rsidRPr="00040A18" w:rsidRDefault="000A3EAC">
            <w:pPr>
              <w:numPr>
                <w:ilvl w:val="0"/>
                <w:numId w:val="13"/>
              </w:numPr>
              <w:ind w:left="425"/>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0</w:t>
            </w:r>
          </w:p>
          <w:p w:rsidR="00C412AA" w:rsidRPr="00040A18" w:rsidRDefault="00C412AA">
            <w:pPr>
              <w:ind w:left="425" w:hanging="360"/>
              <w:jc w:val="both"/>
              <w:rPr>
                <w:rFonts w:ascii="Book Antiqua" w:eastAsia="Book Antiqua" w:hAnsi="Book Antiqua" w:cs="Book Antiqua"/>
                <w:color w:val="000000" w:themeColor="text1"/>
              </w:rPr>
            </w:pPr>
          </w:p>
          <w:p w:rsidR="00C412AA" w:rsidRPr="00040A18" w:rsidRDefault="00C412AA">
            <w:pPr>
              <w:ind w:left="425" w:hanging="360"/>
              <w:jc w:val="both"/>
              <w:rPr>
                <w:rFonts w:ascii="Book Antiqua" w:eastAsia="Book Antiqua" w:hAnsi="Book Antiqua" w:cs="Book Antiqua"/>
                <w:color w:val="000000" w:themeColor="text1"/>
              </w:rPr>
            </w:pPr>
          </w:p>
          <w:p w:rsidR="00C412AA" w:rsidRPr="00040A18" w:rsidRDefault="000A3EAC">
            <w:pPr>
              <w:numPr>
                <w:ilvl w:val="0"/>
                <w:numId w:val="13"/>
              </w:numPr>
              <w:ind w:left="425"/>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0</w:t>
            </w:r>
          </w:p>
          <w:p w:rsidR="00C412AA" w:rsidRPr="00040A18" w:rsidRDefault="00C412AA">
            <w:pPr>
              <w:jc w:val="both"/>
              <w:rPr>
                <w:rFonts w:ascii="Book Antiqua" w:eastAsia="Book Antiqua" w:hAnsi="Book Antiqua" w:cs="Book Antiqua"/>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jc w:val="both"/>
              <w:rPr>
                <w:rFonts w:ascii="Book Antiqua" w:eastAsia="Book Antiqua" w:hAnsi="Book Antiqua" w:cs="Book Antiqua"/>
                <w:color w:val="000000" w:themeColor="text1"/>
              </w:rPr>
            </w:pPr>
          </w:p>
          <w:p w:rsidR="00C412AA" w:rsidRPr="00040A18" w:rsidRDefault="00C412AA">
            <w:pPr>
              <w:jc w:val="both"/>
              <w:rPr>
                <w:rFonts w:ascii="Book Antiqua" w:eastAsia="Book Antiqua" w:hAnsi="Book Antiqua" w:cs="Book Antiqua"/>
                <w:color w:val="000000" w:themeColor="text1"/>
              </w:rPr>
            </w:pPr>
          </w:p>
          <w:p w:rsidR="00C412AA" w:rsidRPr="00040A18" w:rsidRDefault="000A3EAC">
            <w:pPr>
              <w:numPr>
                <w:ilvl w:val="0"/>
                <w:numId w:val="5"/>
              </w:numPr>
              <w:ind w:left="425"/>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50</w:t>
            </w:r>
          </w:p>
          <w:p w:rsidR="00C412AA" w:rsidRPr="00040A18" w:rsidRDefault="00C412AA">
            <w:pPr>
              <w:ind w:left="425" w:hanging="360"/>
              <w:jc w:val="both"/>
              <w:rPr>
                <w:rFonts w:ascii="Book Antiqua" w:eastAsia="Book Antiqua" w:hAnsi="Book Antiqua" w:cs="Book Antiqua"/>
                <w:color w:val="000000" w:themeColor="text1"/>
              </w:rPr>
            </w:pPr>
          </w:p>
          <w:p w:rsidR="00C412AA" w:rsidRPr="00040A18" w:rsidRDefault="00C412AA">
            <w:pPr>
              <w:ind w:left="425" w:hanging="360"/>
              <w:jc w:val="both"/>
              <w:rPr>
                <w:rFonts w:ascii="Book Antiqua" w:eastAsia="Book Antiqua" w:hAnsi="Book Antiqua" w:cs="Book Antiqua"/>
                <w:color w:val="000000" w:themeColor="text1"/>
              </w:rPr>
            </w:pPr>
          </w:p>
          <w:p w:rsidR="00C412AA" w:rsidRPr="00040A18" w:rsidRDefault="000A3EAC">
            <w:pPr>
              <w:numPr>
                <w:ilvl w:val="0"/>
                <w:numId w:val="5"/>
              </w:numPr>
              <w:ind w:left="425"/>
              <w:jc w:val="both"/>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0</w:t>
            </w:r>
          </w:p>
          <w:p w:rsidR="00C412AA" w:rsidRPr="00040A18" w:rsidRDefault="00C412AA">
            <w:pPr>
              <w:jc w:val="both"/>
              <w:rPr>
                <w:rFonts w:ascii="Book Antiqua" w:eastAsia="Book Antiqua" w:hAnsi="Book Antiqua" w:cs="Book Antiqua"/>
                <w:color w:val="000000" w:themeColor="text1"/>
              </w:rPr>
            </w:pPr>
          </w:p>
          <w:p w:rsidR="00C412AA" w:rsidRPr="00040A18" w:rsidRDefault="00C412AA">
            <w:pPr>
              <w:jc w:val="both"/>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ind w:left="425"/>
              <w:jc w:val="both"/>
              <w:rPr>
                <w:rFonts w:ascii="Book Antiqua" w:eastAsia="Book Antiqua" w:hAnsi="Book Antiqua" w:cs="Book Antiqua"/>
                <w:color w:val="000000" w:themeColor="text1"/>
              </w:rPr>
            </w:pPr>
          </w:p>
          <w:p w:rsidR="00C412AA" w:rsidRPr="00040A18" w:rsidRDefault="000A3EAC">
            <w:pPr>
              <w:numPr>
                <w:ilvl w:val="0"/>
                <w:numId w:val="9"/>
              </w:numPr>
              <w:jc w:val="both"/>
              <w:rPr>
                <w:color w:val="000000" w:themeColor="text1"/>
              </w:rPr>
            </w:pPr>
            <w:r w:rsidRPr="00040A18">
              <w:rPr>
                <w:rFonts w:ascii="Book Antiqua" w:eastAsia="Book Antiqua" w:hAnsi="Book Antiqua" w:cs="Book Antiqua"/>
                <w:color w:val="000000" w:themeColor="text1"/>
              </w:rPr>
              <w:t>300</w:t>
            </w:r>
          </w:p>
          <w:p w:rsidR="00C412AA" w:rsidRPr="00040A18" w:rsidRDefault="00C412AA">
            <w:pPr>
              <w:jc w:val="both"/>
              <w:rPr>
                <w:rFonts w:ascii="Book Antiqua" w:eastAsia="Book Antiqua" w:hAnsi="Book Antiqua" w:cs="Book Antiqua"/>
                <w:color w:val="000000" w:themeColor="text1"/>
              </w:rPr>
            </w:pPr>
          </w:p>
          <w:p w:rsidR="00C412AA" w:rsidRPr="00040A18" w:rsidRDefault="00C412AA">
            <w:pPr>
              <w:jc w:val="both"/>
              <w:rPr>
                <w:rFonts w:ascii="Book Antiqua" w:eastAsia="Book Antiqua" w:hAnsi="Book Antiqua" w:cs="Book Antiqua"/>
                <w:color w:val="000000" w:themeColor="text1"/>
              </w:rPr>
            </w:pPr>
          </w:p>
          <w:p w:rsidR="00C412AA" w:rsidRPr="00040A18" w:rsidRDefault="000A3EAC">
            <w:pPr>
              <w:numPr>
                <w:ilvl w:val="0"/>
                <w:numId w:val="9"/>
              </w:numPr>
              <w:jc w:val="both"/>
              <w:rPr>
                <w:color w:val="000000" w:themeColor="text1"/>
              </w:rPr>
            </w:pPr>
            <w:r w:rsidRPr="00040A18">
              <w:rPr>
                <w:rFonts w:ascii="Book Antiqua" w:eastAsia="Book Antiqua" w:hAnsi="Book Antiqua" w:cs="Book Antiqua"/>
                <w:color w:val="000000" w:themeColor="text1"/>
              </w:rPr>
              <w:t>20</w:t>
            </w:r>
          </w:p>
        </w:tc>
      </w:tr>
      <w:tr w:rsidR="00040A18" w:rsidRPr="00040A18">
        <w:trPr>
          <w:trHeight w:val="640"/>
          <w:jc w:val="center"/>
        </w:trPr>
        <w:tc>
          <w:tcPr>
            <w:tcW w:w="243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Aktiviteti</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Afati i zbatimit</w:t>
            </w:r>
          </w:p>
        </w:tc>
        <w:tc>
          <w:tcPr>
            <w:tcW w:w="261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Kostoja totale (euro)</w:t>
            </w:r>
          </w:p>
        </w:tc>
        <w:tc>
          <w:tcPr>
            <w:tcW w:w="135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Burimi i financimit</w:t>
            </w:r>
          </w:p>
        </w:tc>
        <w:tc>
          <w:tcPr>
            <w:tcW w:w="14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Inst.</w:t>
            </w:r>
          </w:p>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Udhëheqës</w:t>
            </w:r>
          </w:p>
        </w:tc>
        <w:tc>
          <w:tcPr>
            <w:tcW w:w="14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Inst. mbështetës</w:t>
            </w:r>
          </w:p>
        </w:tc>
        <w:tc>
          <w:tcPr>
            <w:tcW w:w="135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Produkti</w:t>
            </w:r>
          </w:p>
        </w:tc>
      </w:tr>
      <w:tr w:rsidR="00040A18" w:rsidRPr="00040A18">
        <w:trPr>
          <w:trHeight w:val="640"/>
          <w:jc w:val="center"/>
        </w:trPr>
        <w:tc>
          <w:tcPr>
            <w:tcW w:w="243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rPr>
            </w:pPr>
          </w:p>
        </w:tc>
        <w:tc>
          <w:tcPr>
            <w:tcW w:w="8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Viti 1</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Viti 2</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b/>
                <w:color w:val="000000" w:themeColor="text1"/>
              </w:rPr>
              <w:t>Viti 3</w:t>
            </w:r>
          </w:p>
        </w:tc>
        <w:tc>
          <w:tcPr>
            <w:tcW w:w="13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rPr>
            </w:pPr>
          </w:p>
        </w:tc>
        <w:tc>
          <w:tcPr>
            <w:tcW w:w="14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rPr>
            </w:pPr>
          </w:p>
        </w:tc>
        <w:tc>
          <w:tcPr>
            <w:tcW w:w="14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rPr>
            </w:pPr>
          </w:p>
        </w:tc>
        <w:tc>
          <w:tcPr>
            <w:tcW w:w="13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widowControl w:val="0"/>
              <w:pBdr>
                <w:top w:val="nil"/>
                <w:left w:val="nil"/>
                <w:bottom w:val="nil"/>
                <w:right w:val="nil"/>
                <w:between w:val="nil"/>
              </w:pBdr>
              <w:spacing w:line="276" w:lineRule="auto"/>
              <w:rPr>
                <w:rFonts w:ascii="Book Antiqua" w:eastAsia="Book Antiqua" w:hAnsi="Book Antiqua" w:cs="Book Antiqua"/>
                <w:color w:val="000000" w:themeColor="text1"/>
              </w:rPr>
            </w:pP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2.1. Pranimi teknik i hapësirave punuese të posa renovuara</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TM 4 2022</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sz w:val="20"/>
                <w:szCs w:val="20"/>
              </w:rPr>
              <w:t>MSh</w:t>
            </w:r>
            <w:r w:rsidRPr="00040A18">
              <w:rPr>
                <w:rFonts w:ascii="Book Antiqua" w:eastAsia="Book Antiqua" w:hAnsi="Book Antiqua" w:cs="Book Antiqua"/>
                <w:color w:val="000000" w:themeColor="text1"/>
              </w:rPr>
              <w:t xml:space="preserve"> /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KOGJ,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Raporti i vlerësimit</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2.2. Përgaditja e listës sëpajisjeve të nevojshme</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TM 4</w:t>
            </w:r>
          </w:p>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2022</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sz w:val="20"/>
                <w:szCs w:val="20"/>
              </w:rPr>
              <w:t>MSh</w:t>
            </w:r>
            <w:r w:rsidRPr="00040A18">
              <w:rPr>
                <w:rFonts w:ascii="Book Antiqua" w:eastAsia="Book Antiqua" w:hAnsi="Book Antiqua" w:cs="Book Antiqua"/>
                <w:color w:val="000000" w:themeColor="text1"/>
              </w:rPr>
              <w:t xml:space="preserve"> /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KOGJ,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Raporti i vlerësimit</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2.3. Rekrutimi  i stafit shtesë për diagnostikë citogjenetike/amniocentezë</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jc w:val="center"/>
              <w:rPr>
                <w:rFonts w:ascii="Book Antiqua" w:eastAsia="Book Antiqua" w:hAnsi="Book Antiqua" w:cs="Book Antiqua"/>
                <w:color w:val="000000" w:themeColor="text1"/>
              </w:rPr>
            </w:pPr>
          </w:p>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 /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KOGJ,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bookmarkStart w:id="2" w:name="_30j0zll" w:colFirst="0" w:colLast="0"/>
            <w:bookmarkEnd w:id="2"/>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Rekrutimi:</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 biolog</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 teknik laborant</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lastRenderedPageBreak/>
              <w:t>2.4. Vizitë studimore për menaxhim të shërbimeve CG/amniocentezë</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 xml:space="preserve"> 2023-2025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 vizita studimore</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nga 3 pjesëmarrës</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 xml:space="preserve">Raport nga vizita </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2.5. Trajnimi i stafit jashtë vendit për Citogjenetikë /amniocentezë</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2023 -</w:t>
            </w:r>
          </w:p>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KOGJ,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Stafi i trajnuar</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 biologe, 2 teknik laborante</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2.6. Sigurimi i pajisjeve të nevojshme</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TM1</w:t>
            </w:r>
          </w:p>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600,000</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sz w:val="20"/>
                <w:szCs w:val="20"/>
              </w:rPr>
              <w:t>MSh</w:t>
            </w:r>
            <w:r w:rsidRPr="00040A18">
              <w:rPr>
                <w:rFonts w:ascii="Book Antiqua" w:eastAsia="Book Antiqua" w:hAnsi="Book Antiqua" w:cs="Book Antiqua"/>
                <w:color w:val="000000" w:themeColor="text1"/>
              </w:rPr>
              <w:t xml:space="preserve"> /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KOGJ,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Paisjet e siguruara</w:t>
            </w:r>
          </w:p>
          <w:p w:rsidR="00C412AA" w:rsidRPr="00040A18" w:rsidRDefault="00C412AA">
            <w:pPr>
              <w:rPr>
                <w:rFonts w:ascii="Book Antiqua" w:eastAsia="Book Antiqua" w:hAnsi="Book Antiqua" w:cs="Book Antiqua"/>
                <w:color w:val="000000" w:themeColor="text1"/>
              </w:rPr>
            </w:pP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2.7. Hartimi i udhërrefyesit dhe protokoleve klinike për Citogjenetikë</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 xml:space="preserve">2023 - </w:t>
            </w:r>
          </w:p>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 /QKUK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 Udhërrefyes</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dhe</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5 protokole e miratuar</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2.8. Hartimi i procedurave standarde operative</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TM 4</w:t>
            </w:r>
          </w:p>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PSO e miratuar</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2.9. Standardizimi i dokumentacionit mjekësor për citogjenetikë/</w:t>
            </w:r>
          </w:p>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amniocentezë</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TM 3 2023</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 /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Dokumentacioni i standardizuar</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 xml:space="preserve">2.10. Mirëmbajtja e pajisjeve </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2023 - 2025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Mirëmbajtja e pajisjeve</w:t>
            </w:r>
          </w:p>
          <w:p w:rsidR="00C412AA" w:rsidRPr="00040A18" w:rsidRDefault="00C412AA">
            <w:pPr>
              <w:rPr>
                <w:rFonts w:ascii="Book Antiqua" w:eastAsia="Book Antiqua" w:hAnsi="Book Antiqua" w:cs="Book Antiqua"/>
                <w:color w:val="000000" w:themeColor="text1"/>
              </w:rPr>
            </w:pP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lastRenderedPageBreak/>
              <w:t>2.11. Sigurimi i materialit shpenzues</w:t>
            </w:r>
          </w:p>
          <w:p w:rsidR="00C412AA" w:rsidRPr="00040A18" w:rsidRDefault="00C412AA">
            <w:pPr>
              <w:rPr>
                <w:rFonts w:ascii="Book Antiqua" w:eastAsia="Book Antiqua" w:hAnsi="Book Antiqua" w:cs="Book Antiqua"/>
                <w:color w:val="000000" w:themeColor="text1"/>
              </w:rPr>
            </w:pP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2023 - 2025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 xml:space="preserve">50 000 </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QKUK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Material shpenzues për shërbime</w:t>
            </w:r>
          </w:p>
        </w:tc>
      </w:tr>
      <w:tr w:rsidR="00040A18" w:rsidRPr="00040A18">
        <w:trPr>
          <w:trHeight w:val="998"/>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2.12. Integrimi i të dhënave në SISh</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Të dhënat e përfshira në SISH</w:t>
            </w:r>
          </w:p>
        </w:tc>
      </w:tr>
      <w:tr w:rsidR="00040A18" w:rsidRPr="00040A18">
        <w:trPr>
          <w:trHeight w:val="640"/>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2.13 Zhvillim i vazhdueshëm profesional për citogjenetikë dhe amniocentezë</w:t>
            </w:r>
          </w:p>
        </w:tc>
        <w:tc>
          <w:tcPr>
            <w:tcW w:w="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jc w:val="cente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2023-2025</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0A3EAC">
            <w:pPr>
              <w:rPr>
                <w:rFonts w:ascii="Book Antiqua" w:eastAsia="Book Antiqua" w:hAnsi="Book Antiqua" w:cs="Book Antiqua"/>
                <w:color w:val="000000" w:themeColor="text1"/>
              </w:rPr>
            </w:pPr>
            <w:r w:rsidRPr="00040A18">
              <w:rPr>
                <w:rFonts w:ascii="Book Antiqua" w:eastAsia="Book Antiqua" w:hAnsi="Book Antiqua" w:cs="Book Antiqua"/>
                <w:color w:val="000000" w:themeColor="text1"/>
              </w:rPr>
              <w:t>MSh SHSKUK</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C412AA">
            <w:pPr>
              <w:rPr>
                <w:rFonts w:ascii="Book Antiqua" w:eastAsia="Book Antiqua" w:hAnsi="Book Antiqua" w:cs="Book Antiqua"/>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412AA" w:rsidRPr="00040A18" w:rsidRDefault="008D48DC">
            <w:pPr>
              <w:rPr>
                <w:rFonts w:ascii="Book Antiqua" w:eastAsia="Book Antiqua" w:hAnsi="Book Antiqua" w:cs="Book Antiqua"/>
                <w:color w:val="000000" w:themeColor="text1"/>
              </w:rPr>
            </w:pPr>
            <w:r>
              <w:rPr>
                <w:rFonts w:ascii="Book Antiqua" w:eastAsia="Book Antiqua" w:hAnsi="Book Antiqua" w:cs="Book Antiqua"/>
                <w:color w:val="000000" w:themeColor="text1"/>
              </w:rPr>
              <w:t>Profesionistët e trajnuar</w:t>
            </w:r>
          </w:p>
        </w:tc>
      </w:tr>
    </w:tbl>
    <w:p w:rsidR="00C412AA" w:rsidRPr="00040A18" w:rsidRDefault="00C412AA">
      <w:pPr>
        <w:jc w:val="both"/>
        <w:rPr>
          <w:b/>
          <w:color w:val="000000" w:themeColor="text1"/>
          <w:sz w:val="36"/>
          <w:szCs w:val="36"/>
        </w:rPr>
      </w:pPr>
    </w:p>
    <w:p w:rsidR="00C412AA" w:rsidRPr="00040A18" w:rsidRDefault="00C412AA">
      <w:pPr>
        <w:jc w:val="center"/>
        <w:rPr>
          <w:b/>
          <w:color w:val="000000" w:themeColor="text1"/>
          <w:sz w:val="36"/>
          <w:szCs w:val="36"/>
        </w:rPr>
      </w:pPr>
    </w:p>
    <w:sectPr w:rsidR="00C412AA" w:rsidRPr="00040A1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739" w:rsidRDefault="005A7739">
      <w:r>
        <w:separator/>
      </w:r>
    </w:p>
  </w:endnote>
  <w:endnote w:type="continuationSeparator" w:id="0">
    <w:p w:rsidR="005A7739" w:rsidRDefault="005A7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altName w:val="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altName w:val="Arial"/>
    <w:panose1 w:val="020F0502020204030204"/>
    <w:charset w:val="00"/>
    <w:family w:val="swiss"/>
    <w:pitch w:val="variable"/>
    <w:sig w:usb0="E0002AFF" w:usb1="C000247B" w:usb2="00000009" w:usb3="00000000" w:csb0="000001FF" w:csb1="00000000"/>
  </w:font>
  <w:font w:name="Merriweather">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2AA" w:rsidRDefault="000A3EA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227455">
      <w:rPr>
        <w:noProof/>
        <w:color w:val="000000"/>
      </w:rPr>
      <w:t>2</w:t>
    </w:r>
    <w:r>
      <w:rPr>
        <w:color w:val="000000"/>
      </w:rPr>
      <w:fldChar w:fldCharType="end"/>
    </w:r>
  </w:p>
  <w:p w:rsidR="00C412AA" w:rsidRDefault="00C412A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739" w:rsidRDefault="005A7739">
      <w:r>
        <w:separator/>
      </w:r>
    </w:p>
  </w:footnote>
  <w:footnote w:type="continuationSeparator" w:id="0">
    <w:p w:rsidR="005A7739" w:rsidRDefault="005A7739">
      <w:r>
        <w:continuationSeparator/>
      </w:r>
    </w:p>
  </w:footnote>
  <w:footnote w:id="1">
    <w:p w:rsidR="00C412AA" w:rsidRDefault="000A3EAC">
      <w:pPr>
        <w:pStyle w:val="Heading1"/>
        <w:shd w:val="clear" w:color="auto" w:fill="FFFFFF"/>
        <w:spacing w:before="0"/>
        <w:ind w:right="171"/>
        <w:rPr>
          <w:rFonts w:ascii="Book Antiqua" w:eastAsia="Book Antiqua" w:hAnsi="Book Antiqua" w:cs="Book Antiqua"/>
          <w:b w:val="0"/>
          <w:i/>
          <w:color w:val="000000"/>
          <w:sz w:val="16"/>
          <w:szCs w:val="16"/>
        </w:rPr>
      </w:pPr>
      <w:r>
        <w:rPr>
          <w:vertAlign w:val="superscript"/>
        </w:rPr>
        <w:footnoteRef/>
      </w:r>
      <w:r>
        <w:rPr>
          <w:rFonts w:ascii="Book Antiqua" w:eastAsia="Book Antiqua" w:hAnsi="Book Antiqua" w:cs="Book Antiqua"/>
          <w:b w:val="0"/>
          <w:i/>
          <w:color w:val="000000"/>
          <w:sz w:val="16"/>
          <w:szCs w:val="16"/>
        </w:rPr>
        <w:t xml:space="preserve"> WHO 2019 Infertility is a global public health issue</w:t>
      </w:r>
    </w:p>
  </w:footnote>
  <w:footnote w:id="2">
    <w:p w:rsidR="00C412AA" w:rsidRDefault="000A3EAC">
      <w:pPr>
        <w:pBdr>
          <w:top w:val="nil"/>
          <w:left w:val="nil"/>
          <w:bottom w:val="nil"/>
          <w:right w:val="nil"/>
          <w:between w:val="nil"/>
        </w:pBdr>
        <w:rPr>
          <w:rFonts w:ascii="Book Antiqua" w:eastAsia="Book Antiqua" w:hAnsi="Book Antiqua" w:cs="Book Antiqua"/>
          <w:color w:val="000000"/>
          <w:sz w:val="16"/>
          <w:szCs w:val="16"/>
        </w:rPr>
      </w:pPr>
      <w:r>
        <w:rPr>
          <w:vertAlign w:val="superscript"/>
        </w:rPr>
        <w:footnoteRef/>
      </w:r>
      <w:r>
        <w:rPr>
          <w:rFonts w:ascii="Book Antiqua" w:eastAsia="Book Antiqua" w:hAnsi="Book Antiqua" w:cs="Book Antiqua"/>
          <w:i/>
          <w:color w:val="000000"/>
          <w:sz w:val="16"/>
          <w:szCs w:val="16"/>
        </w:rPr>
        <w:t>Datta J, Palmer MJ, Tanton C, et al: Prevalence of infertility and help seeking among 15,000 women and men. Hum Reprod 31:2108, 2016</w:t>
      </w:r>
    </w:p>
  </w:footnote>
  <w:footnote w:id="3">
    <w:p w:rsidR="00C412AA" w:rsidRDefault="000A3EAC">
      <w:pPr>
        <w:pBdr>
          <w:top w:val="nil"/>
          <w:left w:val="nil"/>
          <w:bottom w:val="nil"/>
          <w:right w:val="nil"/>
          <w:between w:val="nil"/>
        </w:pBdr>
        <w:rPr>
          <w:rFonts w:ascii="Book Antiqua" w:eastAsia="Book Antiqua" w:hAnsi="Book Antiqua" w:cs="Book Antiqua"/>
          <w:color w:val="000000"/>
          <w:sz w:val="16"/>
          <w:szCs w:val="16"/>
        </w:rPr>
      </w:pPr>
      <w:r>
        <w:rPr>
          <w:vertAlign w:val="superscript"/>
        </w:rPr>
        <w:footnoteRef/>
      </w:r>
      <w:r>
        <w:rPr>
          <w:rFonts w:ascii="Book Antiqua" w:eastAsia="Book Antiqua" w:hAnsi="Book Antiqua" w:cs="Book Antiqua"/>
          <w:i/>
          <w:color w:val="000000"/>
          <w:sz w:val="16"/>
          <w:szCs w:val="16"/>
        </w:rPr>
        <w:t>van Roode T, Dickson NP, Righarts AA, et al: Cumulative incidence of infertility in a New Zealand birth cohort to age 38 by sex and the relationship with family formation. Fertil Steril 103:1053, 2015</w:t>
      </w:r>
    </w:p>
  </w:footnote>
  <w:footnote w:id="4">
    <w:p w:rsidR="00C412AA" w:rsidRDefault="000A3EAC">
      <w:pPr>
        <w:pBdr>
          <w:top w:val="nil"/>
          <w:left w:val="nil"/>
          <w:bottom w:val="nil"/>
          <w:right w:val="nil"/>
          <w:between w:val="nil"/>
        </w:pBdr>
        <w:rPr>
          <w:rFonts w:ascii="Book Antiqua" w:eastAsia="Book Antiqua" w:hAnsi="Book Antiqua" w:cs="Book Antiqua"/>
          <w:color w:val="000000"/>
          <w:sz w:val="20"/>
          <w:szCs w:val="20"/>
        </w:rPr>
      </w:pPr>
      <w:r>
        <w:rPr>
          <w:vertAlign w:val="superscript"/>
        </w:rPr>
        <w:footnoteRef/>
      </w:r>
      <w:r>
        <w:rPr>
          <w:rFonts w:ascii="Book Antiqua" w:eastAsia="Book Antiqua" w:hAnsi="Book Antiqua" w:cs="Book Antiqua"/>
          <w:i/>
          <w:color w:val="000000"/>
          <w:sz w:val="20"/>
          <w:szCs w:val="20"/>
        </w:rPr>
        <w:t>Niederberger C., et al: Forty years of IVF. Fertility and Sterility, Volume 110, Issue 2, 185 - 324.e5</w:t>
      </w:r>
    </w:p>
  </w:footnote>
  <w:footnote w:id="5">
    <w:p w:rsidR="00C412AA" w:rsidRDefault="000A3EAC">
      <w:pPr>
        <w:pBdr>
          <w:top w:val="nil"/>
          <w:left w:val="nil"/>
          <w:bottom w:val="nil"/>
          <w:right w:val="nil"/>
          <w:between w:val="nil"/>
        </w:pBdr>
        <w:rPr>
          <w:color w:val="000000"/>
          <w:sz w:val="20"/>
          <w:szCs w:val="20"/>
        </w:rPr>
      </w:pPr>
      <w:r>
        <w:rPr>
          <w:vertAlign w:val="superscript"/>
        </w:rPr>
        <w:footnoteRef/>
      </w:r>
      <w:r>
        <w:rPr>
          <w:rFonts w:ascii="Book Antiqua" w:eastAsia="Book Antiqua" w:hAnsi="Book Antiqua" w:cs="Book Antiqua"/>
          <w:i/>
          <w:color w:val="000000"/>
          <w:sz w:val="20"/>
          <w:szCs w:val="20"/>
        </w:rPr>
        <w:t>Schulman, Joseph D. (2010) Robert G. Edwards – A Personal Viewpoint, CreateSpace Independent Publishing Platform</w:t>
      </w:r>
    </w:p>
  </w:footnote>
  <w:footnote w:id="6">
    <w:p w:rsidR="00C412AA" w:rsidRDefault="000A3EAC">
      <w:pPr>
        <w:pBdr>
          <w:top w:val="nil"/>
          <w:left w:val="nil"/>
          <w:bottom w:val="nil"/>
          <w:right w:val="nil"/>
          <w:between w:val="nil"/>
        </w:pBdr>
        <w:rPr>
          <w:color w:val="000000"/>
          <w:sz w:val="20"/>
          <w:szCs w:val="20"/>
        </w:rPr>
      </w:pPr>
      <w:r>
        <w:rPr>
          <w:vertAlign w:val="superscript"/>
        </w:rPr>
        <w:footnoteRef/>
      </w:r>
      <w:r>
        <w:rPr>
          <w:rFonts w:ascii="Book Antiqua" w:eastAsia="Book Antiqua" w:hAnsi="Book Antiqua" w:cs="Book Antiqua"/>
          <w:i/>
          <w:color w:val="000000"/>
          <w:sz w:val="20"/>
          <w:szCs w:val="20"/>
        </w:rPr>
        <w:t>European Society of Human Reproduction and Embryology. (2018). More than 8 million babies born from IVF since the world's first in 1978: European IVF pregnancy rates now steady at around 36 percent, according to ESHRE monitoring. ScienceDaily. Marrë me datë 5 Dhjetor, 2019 nga www.sciencedaily.com/releases/2018/07/180703084127.htm</w:t>
      </w:r>
    </w:p>
  </w:footnote>
  <w:footnote w:id="7">
    <w:p w:rsidR="00C412AA" w:rsidRDefault="000A3EAC">
      <w:pPr>
        <w:pBdr>
          <w:top w:val="nil"/>
          <w:left w:val="nil"/>
          <w:bottom w:val="nil"/>
          <w:right w:val="nil"/>
          <w:between w:val="nil"/>
        </w:pBdr>
        <w:rPr>
          <w:color w:val="000000"/>
          <w:sz w:val="20"/>
          <w:szCs w:val="20"/>
        </w:rPr>
      </w:pPr>
      <w:r>
        <w:rPr>
          <w:vertAlign w:val="superscript"/>
        </w:rPr>
        <w:footnoteRef/>
      </w:r>
      <w:r>
        <w:rPr>
          <w:rFonts w:ascii="Book Antiqua" w:eastAsia="Book Antiqua" w:hAnsi="Book Antiqua" w:cs="Book Antiqua"/>
          <w:i/>
          <w:color w:val="000000"/>
          <w:sz w:val="20"/>
          <w:szCs w:val="20"/>
        </w:rPr>
        <w:t xml:space="preserve">The need for interaction between assisted reproduction technology and genetics. Eur J Hum Genet 14, 509–511 (2006) </w:t>
      </w:r>
    </w:p>
  </w:footnote>
  <w:footnote w:id="8">
    <w:p w:rsidR="00C412AA" w:rsidRDefault="000A3EAC">
      <w:pPr>
        <w:pBdr>
          <w:top w:val="nil"/>
          <w:left w:val="nil"/>
          <w:bottom w:val="nil"/>
          <w:right w:val="nil"/>
          <w:between w:val="nil"/>
        </w:pBdr>
        <w:rPr>
          <w:color w:val="000000"/>
          <w:sz w:val="20"/>
          <w:szCs w:val="20"/>
        </w:rPr>
      </w:pPr>
      <w:r>
        <w:rPr>
          <w:vertAlign w:val="superscript"/>
        </w:rPr>
        <w:footnoteRef/>
      </w:r>
      <w:r>
        <w:rPr>
          <w:rFonts w:ascii="Book Antiqua" w:eastAsia="Book Antiqua" w:hAnsi="Book Antiqua" w:cs="Book Antiqua"/>
          <w:i/>
          <w:color w:val="000000"/>
          <w:sz w:val="20"/>
          <w:szCs w:val="20"/>
        </w:rPr>
        <w:t>Cunningham, F., Leveno, K., Bloom, S., Dashe, J., Spong, C., Hoffman, B. and Casey, B. (2018). Williams Obstetrics, 25e. New York, N.Y.: McGraw Hill Medical.</w:t>
      </w:r>
    </w:p>
  </w:footnote>
  <w:footnote w:id="9">
    <w:p w:rsidR="00C412AA" w:rsidRDefault="000A3EAC">
      <w:pPr>
        <w:pBdr>
          <w:top w:val="nil"/>
          <w:left w:val="nil"/>
          <w:bottom w:val="nil"/>
          <w:right w:val="nil"/>
          <w:between w:val="nil"/>
        </w:pBdr>
        <w:rPr>
          <w:rFonts w:ascii="Book Antiqua" w:eastAsia="Book Antiqua" w:hAnsi="Book Antiqua" w:cs="Book Antiqua"/>
          <w:i/>
          <w:color w:val="000000"/>
          <w:sz w:val="16"/>
          <w:szCs w:val="16"/>
        </w:rPr>
      </w:pPr>
      <w:r>
        <w:rPr>
          <w:vertAlign w:val="superscript"/>
        </w:rPr>
        <w:footnoteRef/>
      </w:r>
      <w:r>
        <w:rPr>
          <w:rFonts w:ascii="Book Antiqua" w:eastAsia="Book Antiqua" w:hAnsi="Book Antiqua" w:cs="Book Antiqua"/>
          <w:i/>
          <w:color w:val="000000"/>
          <w:sz w:val="16"/>
          <w:szCs w:val="16"/>
        </w:rPr>
        <w:t xml:space="preserve"> Regulation and legislation in assisted reproduction, ESHRE fact sheets 2 January 2017, ESHRE</w:t>
      </w:r>
    </w:p>
  </w:footnote>
  <w:footnote w:id="10">
    <w:p w:rsidR="00C412AA" w:rsidRDefault="000A3EAC">
      <w:pPr>
        <w:pBdr>
          <w:top w:val="nil"/>
          <w:left w:val="nil"/>
          <w:bottom w:val="nil"/>
          <w:right w:val="nil"/>
          <w:between w:val="nil"/>
        </w:pBdr>
        <w:rPr>
          <w:color w:val="000000"/>
          <w:sz w:val="16"/>
          <w:szCs w:val="16"/>
        </w:rPr>
      </w:pPr>
      <w:r>
        <w:rPr>
          <w:vertAlign w:val="superscript"/>
        </w:rPr>
        <w:footnoteRef/>
      </w:r>
      <w:r>
        <w:rPr>
          <w:rFonts w:ascii="Book Antiqua" w:eastAsia="Book Antiqua" w:hAnsi="Book Antiqua" w:cs="Book Antiqua"/>
          <w:i/>
          <w:color w:val="000000"/>
          <w:sz w:val="16"/>
          <w:szCs w:val="16"/>
        </w:rPr>
        <w:t xml:space="preserve"> Ligji nr. 04/L-249 për Sigurimin Shëndetësor, Gazeta Zyrtare, Republika e Kosovës</w:t>
      </w:r>
    </w:p>
  </w:footnote>
  <w:footnote w:id="11">
    <w:p w:rsidR="00C412AA" w:rsidRDefault="000A3EAC">
      <w:pPr>
        <w:pBdr>
          <w:top w:val="nil"/>
          <w:left w:val="nil"/>
          <w:bottom w:val="nil"/>
          <w:right w:val="nil"/>
          <w:between w:val="nil"/>
        </w:pBdr>
        <w:rPr>
          <w:rFonts w:ascii="Book Antiqua" w:eastAsia="Book Antiqua" w:hAnsi="Book Antiqua" w:cs="Book Antiqua"/>
          <w:i/>
          <w:color w:val="000000"/>
          <w:sz w:val="16"/>
          <w:szCs w:val="16"/>
        </w:rPr>
      </w:pPr>
      <w:r>
        <w:rPr>
          <w:vertAlign w:val="superscript"/>
        </w:rPr>
        <w:footnoteRef/>
      </w:r>
      <w:r>
        <w:rPr>
          <w:rFonts w:ascii="Book Antiqua" w:eastAsia="Book Antiqua" w:hAnsi="Book Antiqua" w:cs="Book Antiqua"/>
          <w:i/>
          <w:color w:val="000000"/>
          <w:sz w:val="16"/>
          <w:szCs w:val="16"/>
        </w:rPr>
        <w:t xml:space="preserve"> Report of IVF Clinics in Uk and abroad, Marrë me datë 5 Dhjetor, 2019 nga www.eggdonationfriends.com</w:t>
      </w:r>
    </w:p>
  </w:footnote>
  <w:footnote w:id="12">
    <w:p w:rsidR="00C412AA" w:rsidRDefault="000A3EAC">
      <w:pPr>
        <w:pBdr>
          <w:top w:val="nil"/>
          <w:left w:val="nil"/>
          <w:bottom w:val="nil"/>
          <w:right w:val="nil"/>
          <w:between w:val="nil"/>
        </w:pBdr>
        <w:rPr>
          <w:rFonts w:ascii="Calibri" w:eastAsia="Calibri" w:hAnsi="Calibri" w:cs="Calibri"/>
          <w:color w:val="000000"/>
        </w:rPr>
      </w:pPr>
      <w:r>
        <w:rPr>
          <w:vertAlign w:val="superscript"/>
        </w:rPr>
        <w:footnoteRef/>
      </w:r>
      <w:r>
        <w:rPr>
          <w:color w:val="000000"/>
        </w:rPr>
        <w:t xml:space="preserve"> </w:t>
      </w:r>
      <w:hyperlink r:id="rId1">
        <w:r>
          <w:rPr>
            <w:rFonts w:ascii="Book Antiqua" w:eastAsia="Book Antiqua" w:hAnsi="Book Antiqua" w:cs="Book Antiqua"/>
            <w:color w:val="000000"/>
            <w:sz w:val="16"/>
            <w:szCs w:val="16"/>
            <w:u w:val="single"/>
          </w:rPr>
          <w:t>https://www.eggdonationfriends.com/egg-donation-guide/egg-donation-costs-worldwide-map/</w:t>
        </w:r>
      </w:hyperlink>
    </w:p>
  </w:footnote>
  <w:footnote w:id="13">
    <w:p w:rsidR="00C412AA" w:rsidRDefault="000A3EAC">
      <w:pPr>
        <w:pBdr>
          <w:top w:val="nil"/>
          <w:left w:val="nil"/>
          <w:bottom w:val="nil"/>
          <w:right w:val="nil"/>
          <w:between w:val="nil"/>
        </w:pBdr>
        <w:rPr>
          <w:color w:val="000000"/>
          <w:sz w:val="16"/>
          <w:szCs w:val="16"/>
        </w:rPr>
      </w:pPr>
      <w:r>
        <w:rPr>
          <w:vertAlign w:val="superscript"/>
        </w:rPr>
        <w:footnoteRef/>
      </w:r>
      <w:r>
        <w:rPr>
          <w:rFonts w:ascii="Book Antiqua" w:eastAsia="Book Antiqua" w:hAnsi="Book Antiqua" w:cs="Book Antiqua"/>
          <w:i/>
          <w:color w:val="000000"/>
          <w:sz w:val="16"/>
          <w:szCs w:val="16"/>
        </w:rPr>
        <w:t xml:space="preserve"> Präg P., Mills M.C. (2017) Assisted Reproductive Technology in Europe: Usage and Regulation in the Context of Cross-Border Reproductive Care. In: Kreyenfeld M., Konietzka D. (eds) Childlessness in Europe: Contexts, Causes, and Consequences. Demographic Research Monographs (A series of the Max Planck Institute for Demographic Research). Springer, Cham</w:t>
      </w:r>
    </w:p>
  </w:footnote>
  <w:footnote w:id="14">
    <w:p w:rsidR="00C412AA" w:rsidRDefault="000A3EAC">
      <w:pPr>
        <w:jc w:val="both"/>
        <w:rPr>
          <w:rFonts w:ascii="Book Antiqua" w:eastAsia="Book Antiqua" w:hAnsi="Book Antiqua" w:cs="Book Antiqua"/>
          <w:sz w:val="16"/>
          <w:szCs w:val="16"/>
        </w:rPr>
      </w:pPr>
      <w:r>
        <w:rPr>
          <w:vertAlign w:val="superscript"/>
        </w:rPr>
        <w:footnoteRef/>
      </w:r>
      <w:r>
        <w:rPr>
          <w:rFonts w:ascii="Book Antiqua" w:eastAsia="Book Antiqua" w:hAnsi="Book Antiqua" w:cs="Book Antiqua"/>
          <w:sz w:val="16"/>
          <w:szCs w:val="16"/>
        </w:rPr>
        <w:t>DIRECTIVE 2004/23/EC OF THE EUROPEAN PARLIAMENT AND OF THE COUNCIL of 31 March 2004 on setting standardsof quality and safety for the donation, procurement, testing, processing, preservation, storage and distribution of Human tissuesand cells.</w:t>
      </w:r>
    </w:p>
  </w:footnote>
  <w:footnote w:id="15">
    <w:p w:rsidR="00C412AA" w:rsidRDefault="000A3EAC">
      <w:pPr>
        <w:pBdr>
          <w:top w:val="nil"/>
          <w:left w:val="nil"/>
          <w:bottom w:val="nil"/>
          <w:right w:val="nil"/>
          <w:between w:val="nil"/>
        </w:pBdr>
        <w:rPr>
          <w:rFonts w:ascii="Book Antiqua" w:eastAsia="Book Antiqua" w:hAnsi="Book Antiqua" w:cs="Book Antiqua"/>
          <w:color w:val="000000"/>
          <w:sz w:val="16"/>
          <w:szCs w:val="16"/>
        </w:rPr>
      </w:pPr>
      <w:r>
        <w:rPr>
          <w:vertAlign w:val="superscript"/>
        </w:rPr>
        <w:footnoteRef/>
      </w:r>
      <w:r>
        <w:rPr>
          <w:rFonts w:ascii="Book Antiqua" w:eastAsia="Book Antiqua" w:hAnsi="Book Antiqua" w:cs="Book Antiqua"/>
          <w:color w:val="000000"/>
          <w:sz w:val="16"/>
          <w:szCs w:val="16"/>
        </w:rPr>
        <w:t>ESHRE Position Paper on the DIRECTIVE 2004/23/EC, November 2007 (see Annex 9)</w:t>
      </w:r>
    </w:p>
    <w:p w:rsidR="000825B4" w:rsidRDefault="000825B4">
      <w:pPr>
        <w:pBdr>
          <w:top w:val="nil"/>
          <w:left w:val="nil"/>
          <w:bottom w:val="nil"/>
          <w:right w:val="nil"/>
          <w:between w:val="nil"/>
        </w:pBdr>
        <w:rPr>
          <w:rFonts w:ascii="Book Antiqua" w:eastAsia="Book Antiqua" w:hAnsi="Book Antiqua" w:cs="Book Antiqua"/>
          <w:color w:val="000000"/>
          <w:sz w:val="16"/>
          <w:szCs w:val="16"/>
        </w:rPr>
      </w:pPr>
    </w:p>
  </w:footnote>
  <w:footnote w:id="16">
    <w:p w:rsidR="00C412AA" w:rsidRDefault="000A3EAC">
      <w:pPr>
        <w:rPr>
          <w:rFonts w:ascii="Book Antiqua" w:eastAsia="Book Antiqua" w:hAnsi="Book Antiqua" w:cs="Book Antiqua"/>
          <w:sz w:val="16"/>
          <w:szCs w:val="16"/>
        </w:rPr>
      </w:pPr>
      <w:r>
        <w:rPr>
          <w:vertAlign w:val="superscript"/>
        </w:rPr>
        <w:footnoteRef/>
      </w:r>
      <w:r>
        <w:rPr>
          <w:rFonts w:ascii="Book Antiqua" w:eastAsia="Book Antiqua" w:hAnsi="Book Antiqua" w:cs="Book Antiqua"/>
          <w:sz w:val="16"/>
          <w:szCs w:val="16"/>
        </w:rPr>
        <w:t>Comparative Analysis of MedicallyAssisted Reproduction in the EU: Regulation and Technologies</w:t>
      </w:r>
    </w:p>
    <w:p w:rsidR="00C412AA" w:rsidRDefault="000A3EAC">
      <w:pPr>
        <w:pBdr>
          <w:top w:val="nil"/>
          <w:left w:val="nil"/>
          <w:bottom w:val="nil"/>
          <w:right w:val="nil"/>
          <w:between w:val="nil"/>
        </w:pBdr>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(SANCO/2008/C6/051) FINAL REPORTE</w:t>
      </w:r>
    </w:p>
  </w:footnote>
  <w:footnote w:id="17">
    <w:p w:rsidR="00C412AA" w:rsidRDefault="000A3EAC">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w:t>
      </w:r>
      <w:r>
        <w:rPr>
          <w:rFonts w:ascii="Roboto" w:eastAsia="Roboto" w:hAnsi="Roboto" w:cs="Roboto"/>
          <w:color w:val="000000"/>
          <w:sz w:val="16"/>
          <w:szCs w:val="16"/>
          <w:shd w:val="clear" w:color="auto" w:fill="FAFAFA"/>
        </w:rPr>
        <w:t>See </w:t>
      </w:r>
      <w:hyperlink r:id="rId2">
        <w:r>
          <w:rPr>
            <w:rFonts w:ascii="Roboto" w:eastAsia="Roboto" w:hAnsi="Roboto" w:cs="Roboto"/>
            <w:color w:val="000000"/>
            <w:sz w:val="16"/>
            <w:szCs w:val="16"/>
            <w:u w:val="single"/>
            <w:shd w:val="clear" w:color="auto" w:fill="FAFAFA"/>
          </w:rPr>
          <w:t>https://fertilityeurope.eu/european-atlas-of-fertility-treatment-policies/</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323C"/>
    <w:multiLevelType w:val="multilevel"/>
    <w:tmpl w:val="B37C3572"/>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1" w15:restartNumberingAfterBreak="0">
    <w:nsid w:val="0B6267E6"/>
    <w:multiLevelType w:val="multilevel"/>
    <w:tmpl w:val="455C621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6B345D"/>
    <w:multiLevelType w:val="multilevel"/>
    <w:tmpl w:val="10DC3504"/>
    <w:lvl w:ilvl="0">
      <w:numFmt w:val="bullet"/>
      <w:lvlText w:val="-"/>
      <w:lvlJc w:val="left"/>
      <w:pPr>
        <w:ind w:left="720" w:hanging="360"/>
      </w:pPr>
      <w:rPr>
        <w:rFonts w:ascii="Book Antiqua" w:eastAsia="Book Antiqua" w:hAnsi="Book Antiqua" w:cs="Book Antiqu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B6A6D9C"/>
    <w:multiLevelType w:val="multilevel"/>
    <w:tmpl w:val="A77E0676"/>
    <w:lvl w:ilvl="0">
      <w:numFmt w:val="bullet"/>
      <w:lvlText w:val="-"/>
      <w:lvlJc w:val="left"/>
      <w:pPr>
        <w:ind w:left="720" w:hanging="360"/>
      </w:pPr>
      <w:rPr>
        <w:rFonts w:ascii="Book Antiqua" w:eastAsia="Book Antiqua" w:hAnsi="Book Antiqua" w:cs="Book Antiqu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8F7ED1"/>
    <w:multiLevelType w:val="multilevel"/>
    <w:tmpl w:val="C0588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613B0E"/>
    <w:multiLevelType w:val="multilevel"/>
    <w:tmpl w:val="893436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3FFE325A"/>
    <w:multiLevelType w:val="multilevel"/>
    <w:tmpl w:val="AC42E9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615A18"/>
    <w:multiLevelType w:val="multilevel"/>
    <w:tmpl w:val="05D4F97A"/>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8" w15:restartNumberingAfterBreak="0">
    <w:nsid w:val="4E54267B"/>
    <w:multiLevelType w:val="multilevel"/>
    <w:tmpl w:val="1088B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614709"/>
    <w:multiLevelType w:val="multilevel"/>
    <w:tmpl w:val="DF869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3F47DB6"/>
    <w:multiLevelType w:val="multilevel"/>
    <w:tmpl w:val="FE08167A"/>
    <w:lvl w:ilvl="0">
      <w:numFmt w:val="bullet"/>
      <w:lvlText w:val="-"/>
      <w:lvlJc w:val="left"/>
      <w:pPr>
        <w:ind w:left="720" w:hanging="360"/>
      </w:pPr>
      <w:rPr>
        <w:rFonts w:ascii="Book Antiqua" w:eastAsia="Book Antiqua" w:hAnsi="Book Antiqua" w:cs="Book Antiqu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8953949"/>
    <w:multiLevelType w:val="multilevel"/>
    <w:tmpl w:val="EA4CFDE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A282000"/>
    <w:multiLevelType w:val="multilevel"/>
    <w:tmpl w:val="BAF6E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D9D53BA"/>
    <w:multiLevelType w:val="multilevel"/>
    <w:tmpl w:val="93EAF62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7"/>
  </w:num>
  <w:num w:numId="2">
    <w:abstractNumId w:val="5"/>
  </w:num>
  <w:num w:numId="3">
    <w:abstractNumId w:val="3"/>
  </w:num>
  <w:num w:numId="4">
    <w:abstractNumId w:val="2"/>
  </w:num>
  <w:num w:numId="5">
    <w:abstractNumId w:val="4"/>
  </w:num>
  <w:num w:numId="6">
    <w:abstractNumId w:val="6"/>
  </w:num>
  <w:num w:numId="7">
    <w:abstractNumId w:val="9"/>
  </w:num>
  <w:num w:numId="8">
    <w:abstractNumId w:val="11"/>
  </w:num>
  <w:num w:numId="9">
    <w:abstractNumId w:val="1"/>
  </w:num>
  <w:num w:numId="10">
    <w:abstractNumId w:val="12"/>
  </w:num>
  <w:num w:numId="11">
    <w:abstractNumId w:val="13"/>
  </w:num>
  <w:num w:numId="12">
    <w:abstractNumId w:val="10"/>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2AA"/>
    <w:rsid w:val="00040A18"/>
    <w:rsid w:val="000671F6"/>
    <w:rsid w:val="000825B4"/>
    <w:rsid w:val="000A3EAC"/>
    <w:rsid w:val="000B0FF7"/>
    <w:rsid w:val="00227455"/>
    <w:rsid w:val="002F1E94"/>
    <w:rsid w:val="005A7739"/>
    <w:rsid w:val="007028DF"/>
    <w:rsid w:val="008D48DC"/>
    <w:rsid w:val="009843D6"/>
    <w:rsid w:val="00C412AA"/>
    <w:rsid w:val="00C856A1"/>
    <w:rsid w:val="00D93A27"/>
    <w:rsid w:val="00F82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1F36C1-7509-499B-A32A-7D2733AB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line="276" w:lineRule="auto"/>
      <w:outlineLvl w:val="0"/>
    </w:pPr>
    <w:rPr>
      <w:rFonts w:ascii="Cambria" w:eastAsia="Cambria" w:hAnsi="Cambria" w:cs="Cambria"/>
      <w:b/>
      <w:color w:val="365F91"/>
      <w:sz w:val="28"/>
      <w:szCs w:val="2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FFFFFF"/>
    </w:tcPr>
  </w:style>
  <w:style w:type="table" w:customStyle="1" w:styleId="a0">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FFFFFF"/>
    </w:tcPr>
    <w:tblStylePr w:type="fir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rPr>
      <w:tblPr/>
      <w:tcPr>
        <w:tcBorders>
          <w:top w:val="single" w:sz="8" w:space="0" w:color="5B9BD5"/>
          <w:left w:val="nil"/>
          <w:bottom w:val="single" w:sz="8" w:space="0" w:color="5B9BD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a1">
    <w:basedOn w:val="TableNormal"/>
    <w:rPr>
      <w:rFonts w:ascii="Calibri" w:eastAsia="Calibri" w:hAnsi="Calibri" w:cs="Calibri"/>
      <w:color w:val="2E75B5"/>
      <w:sz w:val="22"/>
      <w:szCs w:val="22"/>
    </w:rPr>
    <w:tblPr>
      <w:tblStyleRowBandSize w:val="1"/>
      <w:tblStyleColBandSize w:val="1"/>
      <w:tblCellMar>
        <w:left w:w="115"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fertilityeurope.eu/european-atlas-of-fertility-treatment-policies/" TargetMode="External"/><Relationship Id="rId1" Type="http://schemas.openxmlformats.org/officeDocument/2006/relationships/hyperlink" Target="https://www.eggdonationfriends.com/egg-donation-guide/egg-donation-costs-worldwide-ma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Book Antiqua" panose="02040602050305030304" pitchFamily="18" charset="0"/>
                <a:ea typeface="+mn-ea"/>
                <a:cs typeface="+mn-cs"/>
              </a:defRPr>
            </a:pPr>
            <a:r>
              <a:rPr lang="en-US" sz="1200" b="0" i="0" u="none" strike="noStrike" baseline="0">
                <a:effectLst/>
                <a:latin typeface="Book Antiqua" panose="02040602050305030304" pitchFamily="18" charset="0"/>
              </a:rPr>
              <a:t>Analizat e kariotipeve, indikacionet dhe diagnosimi i çrregullimeve kromozomale në Klinikën Obstetrike Gjinekologjike, 2009-2019</a:t>
            </a:r>
            <a:endParaRPr lang="en-US" sz="1200">
              <a:latin typeface="Book Antiqua" panose="02040602050305030304" pitchFamily="18" charset="0"/>
            </a:endParaRPr>
          </a:p>
        </c:rich>
      </c:tx>
      <c:overlay val="0"/>
      <c:spPr>
        <a:noFill/>
        <a:ln>
          <a:noFill/>
        </a:ln>
        <a:effectLst/>
      </c:spPr>
    </c:title>
    <c:autoTitleDeleted val="0"/>
    <c:plotArea>
      <c:layout>
        <c:manualLayout>
          <c:layoutTarget val="inner"/>
          <c:xMode val="edge"/>
          <c:yMode val="edge"/>
          <c:x val="5.0356626769968396E-2"/>
          <c:y val="0.22750442477876118"/>
          <c:w val="0.94108264556818055"/>
          <c:h val="0.45320799944254758"/>
        </c:manualLayout>
      </c:layout>
      <c:barChart>
        <c:barDir val="col"/>
        <c:grouping val="clustered"/>
        <c:varyColors val="0"/>
        <c:ser>
          <c:idx val="0"/>
          <c:order val="0"/>
          <c:tx>
            <c:strRef>
              <c:f>'[Chart in Microsoft Word]Sheet1'!$A$2</c:f>
              <c:strCache>
                <c:ptCount val="1"/>
                <c:pt idx="0">
                  <c:v>Pacientë që kanë bërë analizёn e Kariotipit</c:v>
                </c:pt>
              </c:strCache>
            </c:strRef>
          </c:tx>
          <c:spPr>
            <a:solidFill>
              <a:schemeClr val="accent1"/>
            </a:solidFill>
            <a:ln>
              <a:noFill/>
            </a:ln>
            <a:effectLst/>
          </c:spPr>
          <c:invertIfNegative val="0"/>
          <c:cat>
            <c:strRef>
              <c:f>'[Chart in Microsoft Word]Sheet1'!$B$1:$L$1</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'[Chart in Microsoft Word]Sheet1'!$B$2:$L$2</c:f>
              <c:numCache>
                <c:formatCode>General</c:formatCode>
                <c:ptCount val="11"/>
                <c:pt idx="0">
                  <c:v>430</c:v>
                </c:pt>
                <c:pt idx="1">
                  <c:v>518</c:v>
                </c:pt>
                <c:pt idx="2">
                  <c:v>598</c:v>
                </c:pt>
                <c:pt idx="3">
                  <c:v>558</c:v>
                </c:pt>
                <c:pt idx="4">
                  <c:v>543</c:v>
                </c:pt>
                <c:pt idx="5">
                  <c:v>305</c:v>
                </c:pt>
                <c:pt idx="6">
                  <c:v>580</c:v>
                </c:pt>
                <c:pt idx="7">
                  <c:v>590</c:v>
                </c:pt>
                <c:pt idx="8">
                  <c:v>350</c:v>
                </c:pt>
                <c:pt idx="9">
                  <c:v>600</c:v>
                </c:pt>
                <c:pt idx="10">
                  <c:v>610</c:v>
                </c:pt>
              </c:numCache>
            </c:numRef>
          </c:val>
          <c:extLst>
            <c:ext xmlns:c16="http://schemas.microsoft.com/office/drawing/2014/chart" uri="{C3380CC4-5D6E-409C-BE32-E72D297353CC}">
              <c16:uniqueId val="{00000000-3223-4956-B2B9-1FCB07492D56}"/>
            </c:ext>
          </c:extLst>
        </c:ser>
        <c:ser>
          <c:idx val="1"/>
          <c:order val="1"/>
          <c:tx>
            <c:strRef>
              <c:f>'[Chart in Microsoft Word]Sheet1'!$A$3</c:f>
              <c:strCache>
                <c:ptCount val="1"/>
                <c:pt idx="0">
                  <c:v>Aborte spontane</c:v>
                </c:pt>
              </c:strCache>
            </c:strRef>
          </c:tx>
          <c:spPr>
            <a:solidFill>
              <a:schemeClr val="accent2"/>
            </a:solidFill>
            <a:ln>
              <a:noFill/>
            </a:ln>
            <a:effectLst/>
          </c:spPr>
          <c:invertIfNegative val="0"/>
          <c:cat>
            <c:strRef>
              <c:f>'[Chart in Microsoft Word]Sheet1'!$B$1:$L$1</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'[Chart in Microsoft Word]Sheet1'!$B$3:$L$3</c:f>
              <c:numCache>
                <c:formatCode>General</c:formatCode>
                <c:ptCount val="11"/>
                <c:pt idx="0">
                  <c:v>78</c:v>
                </c:pt>
                <c:pt idx="1">
                  <c:v>123</c:v>
                </c:pt>
                <c:pt idx="2">
                  <c:v>135</c:v>
                </c:pt>
                <c:pt idx="3">
                  <c:v>140</c:v>
                </c:pt>
                <c:pt idx="4">
                  <c:v>108</c:v>
                </c:pt>
                <c:pt idx="5">
                  <c:v>60</c:v>
                </c:pt>
                <c:pt idx="6">
                  <c:v>110</c:v>
                </c:pt>
                <c:pt idx="7">
                  <c:v>95</c:v>
                </c:pt>
                <c:pt idx="8">
                  <c:v>20</c:v>
                </c:pt>
                <c:pt idx="9">
                  <c:v>65</c:v>
                </c:pt>
                <c:pt idx="10">
                  <c:v>115</c:v>
                </c:pt>
              </c:numCache>
            </c:numRef>
          </c:val>
          <c:extLst>
            <c:ext xmlns:c16="http://schemas.microsoft.com/office/drawing/2014/chart" uri="{C3380CC4-5D6E-409C-BE32-E72D297353CC}">
              <c16:uniqueId val="{00000001-3223-4956-B2B9-1FCB07492D56}"/>
            </c:ext>
          </c:extLst>
        </c:ser>
        <c:ser>
          <c:idx val="2"/>
          <c:order val="2"/>
          <c:tx>
            <c:strRef>
              <c:f>'[Chart in Microsoft Word]Sheet1'!$A$4</c:f>
              <c:strCache>
                <c:ptCount val="1"/>
                <c:pt idx="0">
                  <c:v>Infertilitet primar</c:v>
                </c:pt>
              </c:strCache>
            </c:strRef>
          </c:tx>
          <c:spPr>
            <a:solidFill>
              <a:schemeClr val="accent3"/>
            </a:solidFill>
            <a:ln>
              <a:noFill/>
            </a:ln>
            <a:effectLst/>
          </c:spPr>
          <c:invertIfNegative val="0"/>
          <c:cat>
            <c:strRef>
              <c:f>'[Chart in Microsoft Word]Sheet1'!$B$1:$L$1</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'[Chart in Microsoft Word]Sheet1'!$B$4:$L$4</c:f>
              <c:numCache>
                <c:formatCode>General</c:formatCode>
                <c:ptCount val="11"/>
                <c:pt idx="0">
                  <c:v>11</c:v>
                </c:pt>
                <c:pt idx="1">
                  <c:v>9</c:v>
                </c:pt>
                <c:pt idx="2">
                  <c:v>33</c:v>
                </c:pt>
                <c:pt idx="3">
                  <c:v>29</c:v>
                </c:pt>
                <c:pt idx="4">
                  <c:v>19</c:v>
                </c:pt>
                <c:pt idx="5">
                  <c:v>10</c:v>
                </c:pt>
                <c:pt idx="6">
                  <c:v>28</c:v>
                </c:pt>
                <c:pt idx="7">
                  <c:v>45</c:v>
                </c:pt>
                <c:pt idx="8">
                  <c:v>10</c:v>
                </c:pt>
                <c:pt idx="9">
                  <c:v>13</c:v>
                </c:pt>
                <c:pt idx="10">
                  <c:v>20</c:v>
                </c:pt>
              </c:numCache>
            </c:numRef>
          </c:val>
          <c:extLst>
            <c:ext xmlns:c16="http://schemas.microsoft.com/office/drawing/2014/chart" uri="{C3380CC4-5D6E-409C-BE32-E72D297353CC}">
              <c16:uniqueId val="{00000002-3223-4956-B2B9-1FCB07492D56}"/>
            </c:ext>
          </c:extLst>
        </c:ser>
        <c:ser>
          <c:idx val="3"/>
          <c:order val="3"/>
          <c:tx>
            <c:strRef>
              <c:f>'[Chart in Microsoft Word]Sheet1'!$A$5</c:f>
              <c:strCache>
                <c:ptCount val="1"/>
                <c:pt idx="0">
                  <c:v>Nr.i pac. me Sindromen Down</c:v>
                </c:pt>
              </c:strCache>
            </c:strRef>
          </c:tx>
          <c:spPr>
            <a:solidFill>
              <a:schemeClr val="accent4"/>
            </a:solidFill>
            <a:ln>
              <a:noFill/>
            </a:ln>
            <a:effectLst/>
          </c:spPr>
          <c:invertIfNegative val="0"/>
          <c:cat>
            <c:strRef>
              <c:f>'[Chart in Microsoft Word]Sheet1'!$B$1:$L$1</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'[Chart in Microsoft Word]Sheet1'!$B$5:$L$5</c:f>
              <c:numCache>
                <c:formatCode>General</c:formatCode>
                <c:ptCount val="11"/>
                <c:pt idx="0">
                  <c:v>53</c:v>
                </c:pt>
                <c:pt idx="1">
                  <c:v>53</c:v>
                </c:pt>
                <c:pt idx="2">
                  <c:v>42</c:v>
                </c:pt>
                <c:pt idx="3">
                  <c:v>39</c:v>
                </c:pt>
                <c:pt idx="4">
                  <c:v>40</c:v>
                </c:pt>
                <c:pt idx="5">
                  <c:v>23</c:v>
                </c:pt>
                <c:pt idx="6">
                  <c:v>40</c:v>
                </c:pt>
                <c:pt idx="7">
                  <c:v>20</c:v>
                </c:pt>
                <c:pt idx="8">
                  <c:v>1</c:v>
                </c:pt>
                <c:pt idx="9">
                  <c:v>25</c:v>
                </c:pt>
                <c:pt idx="10">
                  <c:v>42</c:v>
                </c:pt>
              </c:numCache>
            </c:numRef>
          </c:val>
          <c:extLst>
            <c:ext xmlns:c16="http://schemas.microsoft.com/office/drawing/2014/chart" uri="{C3380CC4-5D6E-409C-BE32-E72D297353CC}">
              <c16:uniqueId val="{00000003-3223-4956-B2B9-1FCB07492D56}"/>
            </c:ext>
          </c:extLst>
        </c:ser>
        <c:ser>
          <c:idx val="4"/>
          <c:order val="4"/>
          <c:tx>
            <c:strRef>
              <c:f>'[Chart in Microsoft Word]Sheet1'!$A$6</c:f>
              <c:strCache>
                <c:ptCount val="1"/>
                <c:pt idx="0">
                  <c:v>Nr. pac. me Sindromen Klinefelter</c:v>
                </c:pt>
              </c:strCache>
            </c:strRef>
          </c:tx>
          <c:spPr>
            <a:solidFill>
              <a:schemeClr val="accent5"/>
            </a:solidFill>
            <a:ln>
              <a:noFill/>
            </a:ln>
            <a:effectLst/>
          </c:spPr>
          <c:invertIfNegative val="0"/>
          <c:cat>
            <c:strRef>
              <c:f>'[Chart in Microsoft Word]Sheet1'!$B$1:$L$1</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'[Chart in Microsoft Word]Sheet1'!$B$6:$L$6</c:f>
              <c:numCache>
                <c:formatCode>General</c:formatCode>
                <c:ptCount val="11"/>
                <c:pt idx="0">
                  <c:v>0</c:v>
                </c:pt>
                <c:pt idx="1">
                  <c:v>5</c:v>
                </c:pt>
                <c:pt idx="2">
                  <c:v>2</c:v>
                </c:pt>
                <c:pt idx="3">
                  <c:v>3</c:v>
                </c:pt>
                <c:pt idx="4">
                  <c:v>0</c:v>
                </c:pt>
                <c:pt idx="5">
                  <c:v>0</c:v>
                </c:pt>
                <c:pt idx="6">
                  <c:v>2</c:v>
                </c:pt>
                <c:pt idx="7">
                  <c:v>0</c:v>
                </c:pt>
                <c:pt idx="8">
                  <c:v>0</c:v>
                </c:pt>
                <c:pt idx="9">
                  <c:v>0</c:v>
                </c:pt>
                <c:pt idx="10">
                  <c:v>4</c:v>
                </c:pt>
              </c:numCache>
            </c:numRef>
          </c:val>
          <c:extLst>
            <c:ext xmlns:c16="http://schemas.microsoft.com/office/drawing/2014/chart" uri="{C3380CC4-5D6E-409C-BE32-E72D297353CC}">
              <c16:uniqueId val="{00000004-3223-4956-B2B9-1FCB07492D56}"/>
            </c:ext>
          </c:extLst>
        </c:ser>
        <c:ser>
          <c:idx val="5"/>
          <c:order val="5"/>
          <c:tx>
            <c:strRef>
              <c:f>'[Chart in Microsoft Word]Sheet1'!$A$7</c:f>
              <c:strCache>
                <c:ptCount val="1"/>
                <c:pt idx="0">
                  <c:v>Nr. pac. me Sindromen Turner</c:v>
                </c:pt>
              </c:strCache>
            </c:strRef>
          </c:tx>
          <c:spPr>
            <a:solidFill>
              <a:schemeClr val="accent6"/>
            </a:solidFill>
            <a:ln>
              <a:noFill/>
            </a:ln>
            <a:effectLst/>
          </c:spPr>
          <c:invertIfNegative val="0"/>
          <c:cat>
            <c:strRef>
              <c:f>'[Chart in Microsoft Word]Sheet1'!$B$1:$L$1</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'[Chart in Microsoft Word]Sheet1'!$B$7:$L$7</c:f>
              <c:numCache>
                <c:formatCode>General</c:formatCode>
                <c:ptCount val="11"/>
                <c:pt idx="0">
                  <c:v>0</c:v>
                </c:pt>
                <c:pt idx="1">
                  <c:v>1</c:v>
                </c:pt>
                <c:pt idx="2">
                  <c:v>2</c:v>
                </c:pt>
                <c:pt idx="3">
                  <c:v>2</c:v>
                </c:pt>
                <c:pt idx="4">
                  <c:v>0</c:v>
                </c:pt>
                <c:pt idx="5">
                  <c:v>1</c:v>
                </c:pt>
                <c:pt idx="6">
                  <c:v>0</c:v>
                </c:pt>
                <c:pt idx="7">
                  <c:v>4</c:v>
                </c:pt>
                <c:pt idx="8">
                  <c:v>3</c:v>
                </c:pt>
                <c:pt idx="9">
                  <c:v>6</c:v>
                </c:pt>
                <c:pt idx="10">
                  <c:v>2</c:v>
                </c:pt>
              </c:numCache>
            </c:numRef>
          </c:val>
          <c:extLst>
            <c:ext xmlns:c16="http://schemas.microsoft.com/office/drawing/2014/chart" uri="{C3380CC4-5D6E-409C-BE32-E72D297353CC}">
              <c16:uniqueId val="{00000005-3223-4956-B2B9-1FCB07492D56}"/>
            </c:ext>
          </c:extLst>
        </c:ser>
        <c:ser>
          <c:idx val="6"/>
          <c:order val="6"/>
          <c:tx>
            <c:strRef>
              <c:f>'[Chart in Microsoft Word]Sheet1'!$A$8</c:f>
              <c:strCache>
                <c:ptCount val="1"/>
                <c:pt idx="0">
                  <c:v>Nr.i pac. me Translokacion</c:v>
                </c:pt>
              </c:strCache>
            </c:strRef>
          </c:tx>
          <c:spPr>
            <a:solidFill>
              <a:schemeClr val="accent1">
                <a:lumMod val="60000"/>
              </a:schemeClr>
            </a:solidFill>
            <a:ln>
              <a:noFill/>
            </a:ln>
            <a:effectLst/>
          </c:spPr>
          <c:invertIfNegative val="0"/>
          <c:cat>
            <c:strRef>
              <c:f>'[Chart in Microsoft Word]Sheet1'!$B$1:$L$1</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'[Chart in Microsoft Word]Sheet1'!$B$8:$L$8</c:f>
              <c:numCache>
                <c:formatCode>General</c:formatCode>
                <c:ptCount val="11"/>
                <c:pt idx="0">
                  <c:v>9</c:v>
                </c:pt>
                <c:pt idx="1">
                  <c:v>16</c:v>
                </c:pt>
                <c:pt idx="2">
                  <c:v>16</c:v>
                </c:pt>
                <c:pt idx="3">
                  <c:v>11</c:v>
                </c:pt>
                <c:pt idx="4">
                  <c:v>7</c:v>
                </c:pt>
                <c:pt idx="5">
                  <c:v>4</c:v>
                </c:pt>
                <c:pt idx="6">
                  <c:v>16</c:v>
                </c:pt>
                <c:pt idx="7">
                  <c:v>8</c:v>
                </c:pt>
                <c:pt idx="8">
                  <c:v>1</c:v>
                </c:pt>
                <c:pt idx="9">
                  <c:v>7</c:v>
                </c:pt>
                <c:pt idx="10">
                  <c:v>11</c:v>
                </c:pt>
              </c:numCache>
            </c:numRef>
          </c:val>
          <c:extLst>
            <c:ext xmlns:c16="http://schemas.microsoft.com/office/drawing/2014/chart" uri="{C3380CC4-5D6E-409C-BE32-E72D297353CC}">
              <c16:uniqueId val="{00000006-3223-4956-B2B9-1FCB07492D56}"/>
            </c:ext>
          </c:extLst>
        </c:ser>
        <c:dLbls>
          <c:showLegendKey val="0"/>
          <c:showVal val="0"/>
          <c:showCatName val="0"/>
          <c:showSerName val="0"/>
          <c:showPercent val="0"/>
          <c:showBubbleSize val="0"/>
        </c:dLbls>
        <c:gapWidth val="219"/>
        <c:overlap val="-27"/>
        <c:axId val="1450188144"/>
        <c:axId val="1450200112"/>
      </c:barChart>
      <c:catAx>
        <c:axId val="145018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0200112"/>
        <c:crosses val="autoZero"/>
        <c:auto val="1"/>
        <c:lblAlgn val="ctr"/>
        <c:lblOffset val="100"/>
        <c:noMultiLvlLbl val="0"/>
      </c:catAx>
      <c:valAx>
        <c:axId val="1450200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018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F9CD833-3E42-4BE3-9404-F50C6BCD9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5977</Words>
  <Characters>34074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Faik Hoti</cp:lastModifiedBy>
  <cp:revision>2</cp:revision>
  <dcterms:created xsi:type="dcterms:W3CDTF">2023-01-10T13:34:00Z</dcterms:created>
  <dcterms:modified xsi:type="dcterms:W3CDTF">2023-01-10T13:34:00Z</dcterms:modified>
</cp:coreProperties>
</file>