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DF1" w:rsidRPr="00F17B4A" w:rsidRDefault="004B4DF1" w:rsidP="004B4DF1">
      <w:pPr>
        <w:pBdr>
          <w:bottom w:val="single" w:sz="4" w:space="1" w:color="auto"/>
        </w:pBdr>
        <w:jc w:val="center"/>
        <w:rPr>
          <w:rFonts w:ascii="Book Antiqua" w:hAnsi="Book Antiqua"/>
          <w:b/>
          <w:sz w:val="36"/>
          <w:szCs w:val="36"/>
        </w:rPr>
      </w:pPr>
      <w:bookmarkStart w:id="0" w:name="_GoBack"/>
      <w:bookmarkEnd w:id="0"/>
      <w:r w:rsidRPr="00F17B4A">
        <w:rPr>
          <w:rFonts w:ascii="Book Antiqua" w:hAnsi="Book Antiqua"/>
          <w:b/>
          <w:sz w:val="36"/>
          <w:szCs w:val="36"/>
        </w:rPr>
        <w:t xml:space="preserve">SHTOJCA </w:t>
      </w:r>
      <w:r w:rsidR="007F0214">
        <w:rPr>
          <w:rFonts w:ascii="Book Antiqua" w:hAnsi="Book Antiqua"/>
          <w:b/>
          <w:sz w:val="36"/>
          <w:szCs w:val="36"/>
        </w:rPr>
        <w:t xml:space="preserve">1 </w:t>
      </w:r>
      <w:r w:rsidRPr="00F17B4A">
        <w:rPr>
          <w:rFonts w:ascii="Book Antiqua" w:hAnsi="Book Antiqua"/>
          <w:b/>
          <w:sz w:val="36"/>
          <w:szCs w:val="36"/>
        </w:rPr>
        <w:t>– PLANI I VEPRIMIT</w:t>
      </w:r>
    </w:p>
    <w:p w:rsidR="004F1A82" w:rsidRPr="00F17B4A" w:rsidRDefault="004F1A82" w:rsidP="00BB4474">
      <w:pPr>
        <w:rPr>
          <w:rFonts w:ascii="Book Antiqua" w:hAnsi="Book Antiqua"/>
        </w:rPr>
      </w:pPr>
      <w:r w:rsidRPr="00F17B4A">
        <w:rPr>
          <w:rFonts w:ascii="Book Antiqua" w:hAnsi="Book Antiqua"/>
        </w:rPr>
        <w:t>1.QEVERISJA</w:t>
      </w:r>
    </w:p>
    <w:tbl>
      <w:tblPr>
        <w:tblpPr w:leftFromText="180" w:rightFromText="180" w:bottomFromText="200" w:vertAnchor="text" w:tblpXSpec="center" w:tblpY="1"/>
        <w:tblOverlap w:val="never"/>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374"/>
        <w:gridCol w:w="1166"/>
        <w:gridCol w:w="1037"/>
        <w:gridCol w:w="862"/>
        <w:gridCol w:w="1187"/>
        <w:gridCol w:w="1639"/>
        <w:gridCol w:w="1451"/>
        <w:gridCol w:w="1415"/>
        <w:gridCol w:w="2031"/>
      </w:tblGrid>
      <w:tr w:rsidR="004F1A82" w:rsidRPr="00F17B4A" w:rsidTr="00B03549">
        <w:trPr>
          <w:trHeight w:val="269"/>
        </w:trPr>
        <w:tc>
          <w:tcPr>
            <w:tcW w:w="5000" w:type="pct"/>
            <w:gridSpan w:val="10"/>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F1A82" w:rsidRPr="00F17B4A" w:rsidRDefault="004F1A82" w:rsidP="00BB4474">
            <w:pPr>
              <w:rPr>
                <w:rFonts w:ascii="Book Antiqua" w:hAnsi="Book Antiqua"/>
              </w:rPr>
            </w:pPr>
            <w:r w:rsidRPr="00F17B4A">
              <w:rPr>
                <w:rFonts w:ascii="Book Antiqua" w:hAnsi="Book Antiqua"/>
              </w:rPr>
              <w:t>OBJEKTIVI STRATEGJIK – FUQIZIMI I SISTEMIT TË MBIKËQYRJES DHE KONTROLLIT TË SËMUNDJEVE NGJITËSE</w:t>
            </w:r>
          </w:p>
          <w:p w:rsidR="004F1A82" w:rsidRPr="00F17B4A" w:rsidRDefault="004F1A82" w:rsidP="00BB4474">
            <w:pPr>
              <w:rPr>
                <w:rFonts w:ascii="Book Antiqua" w:hAnsi="Book Antiqua"/>
              </w:rPr>
            </w:pPr>
          </w:p>
        </w:tc>
      </w:tr>
      <w:tr w:rsidR="004F1A82" w:rsidRPr="00F17B4A" w:rsidTr="004F1A82">
        <w:trPr>
          <w:trHeight w:val="269"/>
        </w:trPr>
        <w:tc>
          <w:tcPr>
            <w:tcW w:w="1435"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Objektivi specifik 1 – Përmirësimi i qeverisjes në fushën e sëmundjeve ngjitëse</w:t>
            </w:r>
          </w:p>
        </w:tc>
        <w:tc>
          <w:tcPr>
            <w:tcW w:w="1896" w:type="pct"/>
            <w:gridSpan w:val="5"/>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Indikatori (-ët) për matjen e arritjes së objektivit</w:t>
            </w:r>
          </w:p>
        </w:tc>
        <w:tc>
          <w:tcPr>
            <w:tcW w:w="496"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D8455B" w:rsidP="00BB4474">
            <w:pPr>
              <w:rPr>
                <w:rFonts w:ascii="Book Antiqua" w:hAnsi="Book Antiqua"/>
              </w:rPr>
            </w:pPr>
            <w:r>
              <w:rPr>
                <w:rFonts w:ascii="Book Antiqua" w:hAnsi="Book Antiqua"/>
              </w:rPr>
              <w:t>Baza 2022</w:t>
            </w:r>
          </w:p>
        </w:tc>
        <w:tc>
          <w:tcPr>
            <w:tcW w:w="4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 xml:space="preserve">Caku </w:t>
            </w:r>
            <w:r w:rsidR="00D8455B">
              <w:rPr>
                <w:rFonts w:ascii="Book Antiqua" w:hAnsi="Book Antiqua"/>
              </w:rPr>
              <w:t>2023</w:t>
            </w:r>
          </w:p>
        </w:tc>
        <w:tc>
          <w:tcPr>
            <w:tcW w:w="689" w:type="pct"/>
            <w:tcBorders>
              <w:top w:val="single" w:sz="4" w:space="0" w:color="auto"/>
              <w:left w:val="single" w:sz="4" w:space="0" w:color="auto"/>
              <w:bottom w:val="single" w:sz="4" w:space="0" w:color="auto"/>
              <w:right w:val="single" w:sz="4" w:space="0" w:color="auto"/>
            </w:tcBorders>
            <w:shd w:val="clear" w:color="auto" w:fill="E7E6E6"/>
            <w:vAlign w:val="center"/>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 xml:space="preserve">Caku </w:t>
            </w:r>
            <w:r w:rsidR="00D8455B">
              <w:rPr>
                <w:rFonts w:ascii="Book Antiqua" w:hAnsi="Book Antiqua"/>
              </w:rPr>
              <w:t>2025</w:t>
            </w:r>
          </w:p>
          <w:p w:rsidR="004F1A82" w:rsidRPr="00F17B4A" w:rsidRDefault="004F1A82" w:rsidP="00BB4474">
            <w:pPr>
              <w:rPr>
                <w:rFonts w:ascii="Book Antiqua" w:hAnsi="Book Antiqua"/>
              </w:rPr>
            </w:pPr>
          </w:p>
        </w:tc>
      </w:tr>
      <w:tr w:rsidR="004F1A82" w:rsidRPr="00F17B4A" w:rsidTr="00B03549">
        <w:trPr>
          <w:trHeight w:val="719"/>
        </w:trPr>
        <w:tc>
          <w:tcPr>
            <w:tcW w:w="63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Rekomandimi</w:t>
            </w:r>
          </w:p>
          <w:p w:rsidR="004F1A82" w:rsidRPr="00F17B4A" w:rsidRDefault="004F1A82" w:rsidP="00BB4474">
            <w:pPr>
              <w:rPr>
                <w:rFonts w:ascii="Book Antiqua" w:hAnsi="Book Antiqua"/>
              </w:rPr>
            </w:pPr>
            <w:r w:rsidRPr="00F17B4A">
              <w:rPr>
                <w:rFonts w:ascii="Book Antiqua" w:hAnsi="Book Antiqua"/>
              </w:rPr>
              <w:t>ECDC</w:t>
            </w:r>
          </w:p>
        </w:tc>
        <w:tc>
          <w:tcPr>
            <w:tcW w:w="803" w:type="pct"/>
            <w:vMerge w:val="restar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Aktiviteti</w:t>
            </w:r>
          </w:p>
        </w:tc>
        <w:tc>
          <w:tcPr>
            <w:tcW w:w="1896" w:type="pct"/>
            <w:gridSpan w:val="5"/>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9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84"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689"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r>
      <w:tr w:rsidR="004F1A82" w:rsidRPr="00F17B4A" w:rsidTr="00B03549">
        <w:trPr>
          <w:trHeight w:val="530"/>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401"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Afati i zbatimit</w:t>
            </w:r>
          </w:p>
        </w:tc>
        <w:tc>
          <w:tcPr>
            <w:tcW w:w="1066" w:type="pct"/>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F1A82" w:rsidRPr="00F17B4A" w:rsidRDefault="004F1A82" w:rsidP="00BB4474">
            <w:pPr>
              <w:rPr>
                <w:rFonts w:ascii="Book Antiqua" w:hAnsi="Book Antiqua"/>
              </w:rPr>
            </w:pPr>
            <w:r w:rsidRPr="00F17B4A">
              <w:rPr>
                <w:rFonts w:ascii="Book Antiqua" w:hAnsi="Book Antiqua"/>
              </w:rPr>
              <w:t>Kostoja totale</w:t>
            </w:r>
          </w:p>
        </w:tc>
        <w:tc>
          <w:tcPr>
            <w:tcW w:w="429"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Burimi i financimit</w:t>
            </w:r>
          </w:p>
        </w:tc>
        <w:tc>
          <w:tcPr>
            <w:tcW w:w="496" w:type="pct"/>
            <w:vMerge w:val="restart"/>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Institucioni</w:t>
            </w:r>
          </w:p>
          <w:p w:rsidR="004F1A82" w:rsidRPr="00F17B4A" w:rsidRDefault="004F1A82" w:rsidP="00BB4474">
            <w:pPr>
              <w:rPr>
                <w:rFonts w:ascii="Book Antiqua" w:hAnsi="Book Antiqua"/>
              </w:rPr>
            </w:pPr>
            <w:r w:rsidRPr="00F17B4A">
              <w:rPr>
                <w:rFonts w:ascii="Book Antiqua" w:hAnsi="Book Antiqua"/>
              </w:rPr>
              <w:t>udhëheqës</w:t>
            </w: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Institucioni mbështetës</w:t>
            </w:r>
          </w:p>
        </w:tc>
        <w:tc>
          <w:tcPr>
            <w:tcW w:w="689" w:type="pct"/>
            <w:vMerge w:val="restar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Produkti</w:t>
            </w:r>
          </w:p>
        </w:tc>
      </w:tr>
      <w:tr w:rsidR="004F1A82" w:rsidRPr="00F17B4A" w:rsidTr="00B03549">
        <w:trPr>
          <w:trHeight w:val="503"/>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0" w:type="auto"/>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F1A82" w:rsidRPr="00F17B4A" w:rsidRDefault="004F1A82" w:rsidP="00BB4474">
            <w:pPr>
              <w:rPr>
                <w:rFonts w:ascii="Book Antiqua" w:hAnsi="Book Antiqua"/>
              </w:rPr>
            </w:pPr>
            <w:r w:rsidRPr="00F17B4A">
              <w:rPr>
                <w:rFonts w:ascii="Book Antiqua" w:hAnsi="Book Antiqua"/>
              </w:rPr>
              <w:t>Viti</w:t>
            </w:r>
          </w:p>
          <w:p w:rsidR="004F1A82" w:rsidRPr="00F17B4A" w:rsidRDefault="00D8455B" w:rsidP="00BB4474">
            <w:pPr>
              <w:rPr>
                <w:rFonts w:ascii="Book Antiqua" w:hAnsi="Book Antiqua"/>
              </w:rPr>
            </w:pPr>
            <w:r>
              <w:rPr>
                <w:rFonts w:ascii="Book Antiqua" w:hAnsi="Book Antiqua"/>
              </w:rPr>
              <w:t>2023</w:t>
            </w:r>
          </w:p>
        </w:tc>
        <w:tc>
          <w:tcPr>
            <w:tcW w:w="3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F1A82" w:rsidRPr="00F17B4A" w:rsidRDefault="004F1A82" w:rsidP="00BB4474">
            <w:pPr>
              <w:rPr>
                <w:rFonts w:ascii="Book Antiqua" w:hAnsi="Book Antiqua"/>
              </w:rPr>
            </w:pPr>
            <w:r w:rsidRPr="00F17B4A">
              <w:rPr>
                <w:rFonts w:ascii="Book Antiqua" w:hAnsi="Book Antiqua"/>
              </w:rPr>
              <w:t xml:space="preserve">Viti </w:t>
            </w:r>
            <w:r w:rsidR="00D8455B">
              <w:rPr>
                <w:rFonts w:ascii="Book Antiqua" w:hAnsi="Book Antiqua"/>
              </w:rPr>
              <w:t>2024</w:t>
            </w:r>
          </w:p>
        </w:tc>
        <w:tc>
          <w:tcPr>
            <w:tcW w:w="4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F1A82" w:rsidRPr="00F17B4A" w:rsidRDefault="004F1A82" w:rsidP="00BB4474">
            <w:pPr>
              <w:rPr>
                <w:rFonts w:ascii="Book Antiqua" w:hAnsi="Book Antiqua"/>
              </w:rPr>
            </w:pPr>
            <w:r w:rsidRPr="00F17B4A">
              <w:rPr>
                <w:rFonts w:ascii="Book Antiqua" w:hAnsi="Book Antiqua"/>
              </w:rPr>
              <w:t>Viti</w:t>
            </w:r>
          </w:p>
          <w:p w:rsidR="004F1A82" w:rsidRPr="00F17B4A" w:rsidRDefault="00D8455B" w:rsidP="00BB4474">
            <w:pPr>
              <w:rPr>
                <w:rFonts w:ascii="Book Antiqua" w:hAnsi="Book Antiqua"/>
              </w:rPr>
            </w:pPr>
            <w:r>
              <w:rPr>
                <w:rFonts w:ascii="Book Antiqua" w:hAnsi="Book Antiqua"/>
              </w:rPr>
              <w:t>2025</w:t>
            </w:r>
          </w:p>
        </w:tc>
        <w:tc>
          <w:tcPr>
            <w:tcW w:w="0" w:type="auto"/>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r>
      <w:tr w:rsidR="004F1A82" w:rsidRPr="00F17B4A" w:rsidTr="00B03549">
        <w:trPr>
          <w:trHeight w:val="1520"/>
        </w:trPr>
        <w:tc>
          <w:tcPr>
            <w:tcW w:w="63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1.1.1 Zbatimi i të gjitha akteve nënligjore, udhëzimet dhe protokollet e nevojshme në mënyrë që të siguroni një sistem </w:t>
            </w:r>
            <w:r w:rsidRPr="00F17B4A">
              <w:rPr>
                <w:rFonts w:ascii="Book Antiqua" w:hAnsi="Book Antiqua"/>
              </w:rPr>
              <w:lastRenderedPageBreak/>
              <w:t>mbikëqyrjeje të mirë funksionuar dhe efikas në përputhje me legjislacionin</w:t>
            </w:r>
          </w:p>
        </w:tc>
        <w:tc>
          <w:tcPr>
            <w:tcW w:w="803"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lastRenderedPageBreak/>
              <w:t xml:space="preserve">1.1. Plotësim ndryshimi i kornizës ligjore </w:t>
            </w:r>
          </w:p>
        </w:tc>
        <w:tc>
          <w:tcPr>
            <w:tcW w:w="401"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Dhjetor </w:t>
            </w:r>
            <w:r w:rsidR="00D8455B">
              <w:rPr>
                <w:rFonts w:ascii="Book Antiqua" w:hAnsi="Book Antiqua"/>
              </w:rPr>
              <w:t>2024</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58"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12, 500 €</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MSh</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484"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IKShPK</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68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Ligji për parandalim dhe kontrollë të sëmundjeve ngjitëse i aprovuar;</w:t>
            </w:r>
          </w:p>
          <w:p w:rsidR="004F1A82" w:rsidRPr="00F17B4A" w:rsidRDefault="004F1A82" w:rsidP="00BB4474">
            <w:pPr>
              <w:rPr>
                <w:rFonts w:ascii="Book Antiqua" w:hAnsi="Book Antiqua"/>
              </w:rPr>
            </w:pPr>
            <w:r w:rsidRPr="00F17B4A">
              <w:rPr>
                <w:rFonts w:ascii="Book Antiqua" w:hAnsi="Book Antiqua"/>
              </w:rPr>
              <w:t xml:space="preserve">UA 16/2012 për cilësinë e ujit për </w:t>
            </w:r>
            <w:r w:rsidRPr="00F17B4A">
              <w:rPr>
                <w:rFonts w:ascii="Book Antiqua" w:hAnsi="Book Antiqua"/>
              </w:rPr>
              <w:lastRenderedPageBreak/>
              <w:t>konsum nga njeriu i aprovuar;</w:t>
            </w:r>
          </w:p>
          <w:p w:rsidR="004F1A82" w:rsidRPr="00F17B4A" w:rsidRDefault="004F1A82" w:rsidP="00BB4474">
            <w:pPr>
              <w:rPr>
                <w:rFonts w:ascii="Book Antiqua" w:hAnsi="Book Antiqua"/>
              </w:rPr>
            </w:pPr>
            <w:r w:rsidRPr="00F17B4A">
              <w:rPr>
                <w:rFonts w:ascii="Book Antiqua" w:hAnsi="Book Antiqua"/>
              </w:rPr>
              <w:t>UA 01/2019 për  veprimtarinë, strukturën dhe funksionet e shërbimeve shëndetësore për HIV/AIDS i aprovuar;</w:t>
            </w:r>
          </w:p>
          <w:p w:rsidR="004F1A82" w:rsidRPr="00F17B4A" w:rsidRDefault="004F1A82" w:rsidP="00BB4474">
            <w:pPr>
              <w:rPr>
                <w:rFonts w:ascii="Book Antiqua" w:hAnsi="Book Antiqua"/>
              </w:rPr>
            </w:pPr>
            <w:r w:rsidRPr="00F17B4A">
              <w:rPr>
                <w:rFonts w:ascii="Book Antiqua" w:hAnsi="Book Antiqua"/>
              </w:rPr>
              <w:t>UA 05/2011 për parandalimin dhe kontrollin e infeksioneve spitalore i aprovuar</w:t>
            </w:r>
          </w:p>
        </w:tc>
      </w:tr>
      <w:tr w:rsidR="004F1A82" w:rsidRPr="00F17B4A" w:rsidTr="00B03549">
        <w:trPr>
          <w:trHeight w:val="1990"/>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803" w:type="pct"/>
            <w:tcBorders>
              <w:top w:val="single" w:sz="4" w:space="0" w:color="auto"/>
              <w:left w:val="single" w:sz="4" w:space="0" w:color="auto"/>
              <w:bottom w:val="single" w:sz="4" w:space="0" w:color="auto"/>
              <w:right w:val="single" w:sz="4" w:space="0" w:color="auto"/>
            </w:tcBorders>
          </w:tcPr>
          <w:p w:rsidR="004F1A82" w:rsidRPr="00A576B1" w:rsidRDefault="004F1A82" w:rsidP="00BB4474">
            <w:pPr>
              <w:rPr>
                <w:rFonts w:ascii="Book Antiqua" w:hAnsi="Book Antiqua"/>
              </w:rPr>
            </w:pPr>
            <w:r w:rsidRPr="00A576B1">
              <w:rPr>
                <w:rFonts w:ascii="Book Antiqua" w:hAnsi="Book Antiqua"/>
              </w:rPr>
              <w:t>1.2. Hartimi i udhëzuesve dhe protokolleve që siguro</w:t>
            </w:r>
            <w:r w:rsidR="00A576B1" w:rsidRPr="00A576B1">
              <w:rPr>
                <w:rFonts w:ascii="Book Antiqua" w:hAnsi="Book Antiqua"/>
              </w:rPr>
              <w:t>j</w:t>
            </w:r>
            <w:r w:rsidRPr="00A576B1">
              <w:rPr>
                <w:rFonts w:ascii="Book Antiqua" w:hAnsi="Book Antiqua"/>
              </w:rPr>
              <w:t>n</w:t>
            </w:r>
            <w:r w:rsidR="00A576B1" w:rsidRPr="00A576B1">
              <w:rPr>
                <w:rFonts w:ascii="Book Antiqua" w:hAnsi="Book Antiqua"/>
              </w:rPr>
              <w:t>ë</w:t>
            </w:r>
            <w:r w:rsidRPr="00A576B1">
              <w:rPr>
                <w:rFonts w:ascii="Book Antiqua" w:hAnsi="Book Antiqua"/>
              </w:rPr>
              <w:t xml:space="preserve"> avancimin e sistemit mbikëqyrjes së sëmundjeve ngjitëse</w:t>
            </w:r>
          </w:p>
          <w:p w:rsidR="004F1A82" w:rsidRPr="00746FC7" w:rsidRDefault="004F1A82" w:rsidP="00BB4474">
            <w:pPr>
              <w:rPr>
                <w:rFonts w:ascii="Book Antiqua" w:hAnsi="Book Antiqua"/>
                <w:highlight w:val="yellow"/>
              </w:rPr>
            </w:pPr>
          </w:p>
          <w:p w:rsidR="004F1A82" w:rsidRPr="00746FC7" w:rsidRDefault="004F1A82" w:rsidP="00BB4474">
            <w:pPr>
              <w:rPr>
                <w:rFonts w:ascii="Book Antiqua" w:hAnsi="Book Antiqua"/>
                <w:highlight w:val="yellow"/>
              </w:rPr>
            </w:pP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MSh/DL</w:t>
            </w:r>
          </w:p>
        </w:tc>
        <w:tc>
          <w:tcPr>
            <w:tcW w:w="68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Udhëzimet dhe protokollet e miratuara për avancim të sistemit të mbikëqyrjes</w:t>
            </w:r>
          </w:p>
        </w:tc>
      </w:tr>
      <w:tr w:rsidR="004F1A82" w:rsidRPr="00F17B4A" w:rsidTr="00B03549">
        <w:trPr>
          <w:trHeight w:val="1511"/>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803"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1.3. Monitorimi i zbatimit të legjislacionit </w:t>
            </w:r>
            <w:r w:rsidR="00B03549">
              <w:rPr>
                <w:rFonts w:ascii="Book Antiqua" w:hAnsi="Book Antiqua"/>
              </w:rPr>
              <w:t>në fushën e sëmundjeve ngjitëse</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Janar- Dhjetor </w:t>
            </w:r>
            <w:r w:rsidR="00D8455B">
              <w:rPr>
                <w:rFonts w:ascii="Book Antiqua" w:hAnsi="Book Antiqua"/>
              </w:rPr>
              <w:t>2023</w:t>
            </w:r>
            <w:r w:rsidRPr="00F17B4A">
              <w:rPr>
                <w:rFonts w:ascii="Book Antiqua" w:hAnsi="Book Antiqua"/>
              </w:rPr>
              <w:t>-</w:t>
            </w:r>
            <w:r w:rsidR="00D8455B">
              <w:rPr>
                <w:rFonts w:ascii="Book Antiqua" w:hAnsi="Book Antiqua"/>
              </w:rPr>
              <w:t>2025</w:t>
            </w: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Kosto administrative</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MSh/DL</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68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Raporti i ndërmjetëm i monitorimit i publikuar në faqen zyrtare të MSh-së</w:t>
            </w:r>
          </w:p>
        </w:tc>
      </w:tr>
      <w:tr w:rsidR="004F1A82" w:rsidRPr="00F17B4A" w:rsidTr="00B03549">
        <w:trPr>
          <w:trHeight w:val="1230"/>
        </w:trPr>
        <w:tc>
          <w:tcPr>
            <w:tcW w:w="63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lastRenderedPageBreak/>
              <w:t>1.1.2 Zhvillimi i partneriteteve strategjike me sektorin privat me qëllim përfshirjen e tyre në parandalimin dhe kontrollin e sëmundjeve ngjitëse</w:t>
            </w:r>
          </w:p>
        </w:tc>
        <w:tc>
          <w:tcPr>
            <w:tcW w:w="803"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1.4. Hartimi i kritereve për raportim të sëmundjeve ngjitëse nga ins</w:t>
            </w:r>
            <w:r w:rsidR="00B03549">
              <w:rPr>
                <w:rFonts w:ascii="Book Antiqua" w:hAnsi="Book Antiqua"/>
              </w:rPr>
              <w:t>titucionet private shëndetësore</w:t>
            </w:r>
          </w:p>
        </w:tc>
        <w:tc>
          <w:tcPr>
            <w:tcW w:w="401" w:type="pct"/>
            <w:tcBorders>
              <w:top w:val="single" w:sz="4" w:space="0" w:color="auto"/>
              <w:left w:val="single" w:sz="4" w:space="0" w:color="auto"/>
              <w:bottom w:val="single" w:sz="4" w:space="0" w:color="auto"/>
              <w:right w:val="single" w:sz="4" w:space="0" w:color="auto"/>
            </w:tcBorders>
          </w:tcPr>
          <w:p w:rsidR="004F1A82" w:rsidRPr="00F17B4A" w:rsidRDefault="00D8455B" w:rsidP="00BB4474">
            <w:pPr>
              <w:rPr>
                <w:rFonts w:ascii="Book Antiqua" w:hAnsi="Book Antiqua"/>
              </w:rPr>
            </w:pPr>
            <w:r>
              <w:rPr>
                <w:rFonts w:ascii="Book Antiqua" w:hAnsi="Book Antiqua"/>
              </w:rPr>
              <w:t>2023</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DZhSSh</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484"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IKShPK</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689"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Kriteret e aprovuara dhe të përfshira në Projektligjin për parandalim dhe k</w:t>
            </w:r>
            <w:r w:rsidR="00B03549">
              <w:rPr>
                <w:rFonts w:ascii="Book Antiqua" w:hAnsi="Book Antiqua"/>
              </w:rPr>
              <w:t>ontrollë të sëmundjeve ngjitëse</w:t>
            </w:r>
          </w:p>
        </w:tc>
      </w:tr>
      <w:tr w:rsidR="004F1A82" w:rsidRPr="00F17B4A" w:rsidTr="00B03549">
        <w:trPr>
          <w:trHeight w:val="2510"/>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803"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1.5. Përfshirja e institucioneve private shëndetësore në sistemin e mbikëqyrjes së sëmundjeve ngjitëse përmes mekanizmave në procesin e licencimit</w:t>
            </w:r>
          </w:p>
          <w:p w:rsidR="004F1A82" w:rsidRPr="00F17B4A" w:rsidRDefault="004F1A82" w:rsidP="00BB4474">
            <w:pPr>
              <w:rPr>
                <w:rFonts w:ascii="Book Antiqua" w:hAnsi="Book Antiqua"/>
              </w:rPr>
            </w:pPr>
          </w:p>
        </w:tc>
        <w:tc>
          <w:tcPr>
            <w:tcW w:w="401" w:type="pct"/>
            <w:tcBorders>
              <w:top w:val="single" w:sz="4" w:space="0" w:color="auto"/>
              <w:left w:val="single" w:sz="4" w:space="0" w:color="auto"/>
              <w:bottom w:val="single" w:sz="4" w:space="0" w:color="auto"/>
              <w:right w:val="single" w:sz="4" w:space="0" w:color="auto"/>
            </w:tcBorders>
          </w:tcPr>
          <w:p w:rsidR="004F1A82" w:rsidRPr="00F17B4A" w:rsidRDefault="00D8455B" w:rsidP="00BB4474">
            <w:pPr>
              <w:rPr>
                <w:rFonts w:ascii="Book Antiqua" w:hAnsi="Book Antiqua"/>
              </w:rPr>
            </w:pPr>
            <w:r>
              <w:rPr>
                <w:rFonts w:ascii="Book Antiqua" w:hAnsi="Book Antiqua"/>
              </w:rPr>
              <w:t>2023</w:t>
            </w:r>
          </w:p>
          <w:p w:rsidR="004F1A82" w:rsidRPr="00F17B4A" w:rsidRDefault="004F1A82" w:rsidP="00BB4474">
            <w:pPr>
              <w:rPr>
                <w:rFonts w:ascii="Book Antiqua" w:hAnsi="Book Antiqua"/>
              </w:rPr>
            </w:pP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Kosto administrative</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DSISh, DZhSSh</w:t>
            </w:r>
          </w:p>
        </w:tc>
        <w:tc>
          <w:tcPr>
            <w:tcW w:w="484"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IKShPK</w:t>
            </w:r>
          </w:p>
          <w:p w:rsidR="004F1A82" w:rsidRPr="00F17B4A" w:rsidRDefault="004F1A82" w:rsidP="00BB4474">
            <w:pPr>
              <w:rPr>
                <w:rFonts w:ascii="Book Antiqua" w:hAnsi="Book Antiqua"/>
              </w:rPr>
            </w:pPr>
          </w:p>
        </w:tc>
        <w:tc>
          <w:tcPr>
            <w:tcW w:w="68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Institucionet private shëndetësore të përfshira në sistemin e mbikëqyrjes së sëmundjeve ngjitëse dhe raportimi i rregullt</w:t>
            </w:r>
          </w:p>
        </w:tc>
      </w:tr>
      <w:tr w:rsidR="004F1A82" w:rsidRPr="00F17B4A" w:rsidTr="00B03549">
        <w:trPr>
          <w:trHeight w:val="824"/>
        </w:trPr>
        <w:tc>
          <w:tcPr>
            <w:tcW w:w="63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lastRenderedPageBreak/>
              <w:t>1.1.3 Zbatimi i dispozitave për mbrojtjen e të dhënave në të gjitha nivelet e sistemit shëndetësor dhe sigurimi i sigurisë së të dhënave personale në zyrat mjekësore</w:t>
            </w:r>
          </w:p>
        </w:tc>
        <w:tc>
          <w:tcPr>
            <w:tcW w:w="803"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1.6. Përfshirja e dispozitave ligjore për ruajtjen e të dhënave personale të pacientëve në kuadër të Ligjit për Shëndetësi</w:t>
            </w:r>
          </w:p>
        </w:tc>
        <w:tc>
          <w:tcPr>
            <w:tcW w:w="401" w:type="pct"/>
            <w:tcBorders>
              <w:top w:val="single" w:sz="4" w:space="0" w:color="auto"/>
              <w:left w:val="single" w:sz="4" w:space="0" w:color="auto"/>
              <w:bottom w:val="single" w:sz="4" w:space="0" w:color="auto"/>
              <w:right w:val="single" w:sz="4" w:space="0" w:color="auto"/>
            </w:tcBorders>
          </w:tcPr>
          <w:p w:rsidR="004F1A82" w:rsidRPr="00F17B4A" w:rsidRDefault="00D8455B" w:rsidP="00BB4474">
            <w:pPr>
              <w:rPr>
                <w:rFonts w:ascii="Book Antiqua" w:hAnsi="Book Antiqua"/>
              </w:rPr>
            </w:pPr>
            <w:r>
              <w:rPr>
                <w:rFonts w:ascii="Book Antiqua" w:hAnsi="Book Antiqua"/>
              </w:rPr>
              <w:t>2023</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BK; </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DL, DSISh, AShI</w:t>
            </w:r>
          </w:p>
        </w:tc>
        <w:tc>
          <w:tcPr>
            <w:tcW w:w="689" w:type="pct"/>
            <w:tcBorders>
              <w:top w:val="single" w:sz="4" w:space="0" w:color="auto"/>
              <w:left w:val="single" w:sz="4" w:space="0" w:color="auto"/>
              <w:bottom w:val="single" w:sz="4" w:space="0" w:color="auto"/>
              <w:right w:val="single" w:sz="4" w:space="0" w:color="auto"/>
            </w:tcBorders>
          </w:tcPr>
          <w:p w:rsidR="004F1A82" w:rsidRPr="00F17B4A" w:rsidRDefault="00B03549" w:rsidP="00BB4474">
            <w:pPr>
              <w:rPr>
                <w:rFonts w:ascii="Book Antiqua" w:hAnsi="Book Antiqua"/>
              </w:rPr>
            </w:pPr>
            <w:r>
              <w:rPr>
                <w:rFonts w:ascii="Book Antiqua" w:hAnsi="Book Antiqua"/>
              </w:rPr>
              <w:t>Ligji për Shëndetësi i aprovuar</w:t>
            </w:r>
          </w:p>
        </w:tc>
      </w:tr>
      <w:tr w:rsidR="004F1A82" w:rsidRPr="00F17B4A" w:rsidTr="00B03549">
        <w:trPr>
          <w:trHeight w:val="824"/>
        </w:trPr>
        <w:tc>
          <w:tcPr>
            <w:tcW w:w="63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1.2.1 Siguroni ndryshimet dhe aranzhimet e sistemit të parandalimit dhe kontrollit të nevojshëm të SN-së për të përmbushur kërkesat e përcaktimeve të rasteve të BE -së në përputhje me Vendimin Zbatues të Komisionit (BE) 2018/945 të 22 qershor 2018 me ndryshime të </w:t>
            </w:r>
            <w:r w:rsidRPr="00F17B4A">
              <w:rPr>
                <w:rFonts w:ascii="Book Antiqua" w:hAnsi="Book Antiqua"/>
              </w:rPr>
              <w:lastRenderedPageBreak/>
              <w:t>tjera</w:t>
            </w:r>
          </w:p>
        </w:tc>
        <w:tc>
          <w:tcPr>
            <w:tcW w:w="803"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lastRenderedPageBreak/>
              <w:t>1.7. Përafrimi i kornizës ligjore për definimin e rasteve në përputhje me vendimin 2002/253/EC</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p w:rsidR="004F1A82" w:rsidRPr="00F17B4A" w:rsidRDefault="004F1A82" w:rsidP="00BB4474">
            <w:pPr>
              <w:rPr>
                <w:rFonts w:ascii="Book Antiqua" w:hAnsi="Book Antiqua"/>
              </w:rPr>
            </w:pPr>
            <w:r w:rsidRPr="00F17B4A">
              <w:rPr>
                <w:rFonts w:ascii="Book Antiqua" w:hAnsi="Book Antiqua"/>
              </w:rPr>
              <w:t>DL, IKShPK</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Qeveria,</w:t>
            </w:r>
          </w:p>
          <w:p w:rsidR="004F1A82" w:rsidRPr="00F17B4A" w:rsidRDefault="004F1A82" w:rsidP="00BB4474">
            <w:pPr>
              <w:rPr>
                <w:rFonts w:ascii="Book Antiqua" w:hAnsi="Book Antiqua"/>
              </w:rPr>
            </w:pPr>
            <w:r w:rsidRPr="00F17B4A">
              <w:rPr>
                <w:rFonts w:ascii="Book Antiqua" w:hAnsi="Book Antiqua"/>
              </w:rPr>
              <w:t>Kuvendi</w:t>
            </w:r>
          </w:p>
        </w:tc>
        <w:tc>
          <w:tcPr>
            <w:tcW w:w="689"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Aprovimi i Ligjit për parandalim dhe kontrollë të sëmundjeve ngji</w:t>
            </w:r>
            <w:r w:rsidR="00B03549">
              <w:rPr>
                <w:rFonts w:ascii="Book Antiqua" w:hAnsi="Book Antiqua"/>
              </w:rPr>
              <w:t>tëse dhe monitorimi i zbatimit;</w:t>
            </w:r>
          </w:p>
        </w:tc>
      </w:tr>
      <w:tr w:rsidR="004F1A82" w:rsidRPr="00F17B4A" w:rsidTr="00B03549">
        <w:trPr>
          <w:trHeight w:val="824"/>
        </w:trPr>
        <w:tc>
          <w:tcPr>
            <w:tcW w:w="63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lastRenderedPageBreak/>
              <w:t>1.3.1 Zhvillimi i procedurave që do të mundësojnë veprime të koordinuara për hulumtimin e epidemisë, në koordinim të IKShPK -së me qendrat e tij regjionale</w:t>
            </w:r>
          </w:p>
        </w:tc>
        <w:tc>
          <w:tcPr>
            <w:tcW w:w="803"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1.8. Hartimi i procedurave standarde operative për hetimin e rasteve në rast të shpërthimit të epidemive</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2500 €</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MSh, </w:t>
            </w:r>
          </w:p>
          <w:p w:rsidR="004F1A82" w:rsidRPr="00F17B4A" w:rsidRDefault="004F1A82" w:rsidP="00BB4474">
            <w:pPr>
              <w:rPr>
                <w:rFonts w:ascii="Book Antiqua" w:hAnsi="Book Antiqua"/>
              </w:rPr>
            </w:pPr>
            <w:r w:rsidRPr="00F17B4A">
              <w:rPr>
                <w:rFonts w:ascii="Book Antiqua" w:hAnsi="Book Antiqua"/>
              </w:rPr>
              <w:t>AVUK</w:t>
            </w:r>
          </w:p>
        </w:tc>
        <w:tc>
          <w:tcPr>
            <w:tcW w:w="68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Procedura standarde operative të miratuara ku theksohet roli i qendrave regjionale </w:t>
            </w:r>
          </w:p>
        </w:tc>
      </w:tr>
      <w:tr w:rsidR="004F1A82" w:rsidRPr="00F17B4A" w:rsidTr="00B03549">
        <w:trPr>
          <w:trHeight w:val="824"/>
        </w:trPr>
        <w:tc>
          <w:tcPr>
            <w:tcW w:w="63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1.3.2 Zhvillimi i procedurave për veprime të përbashkëta për të siguruar komunikim dhe bashkëpunim të rregullt midis sektorëve dhe institucioneve përkatëse</w:t>
            </w:r>
          </w:p>
        </w:tc>
        <w:tc>
          <w:tcPr>
            <w:tcW w:w="803"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1.9. Hartimi i procedurave standarde operative për bashkëpunim në mes institucioneve relevante ndërsektoriale</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2500 €</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AVUK, </w:t>
            </w:r>
          </w:p>
        </w:tc>
        <w:tc>
          <w:tcPr>
            <w:tcW w:w="68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Procedura standarde operative të aprovuara për bashkëpunim dhe koordinim në mes AVUK, IKShPK, Komuna</w:t>
            </w:r>
          </w:p>
        </w:tc>
      </w:tr>
      <w:tr w:rsidR="004F1A82" w:rsidRPr="00F17B4A" w:rsidTr="00B03549">
        <w:trPr>
          <w:trHeight w:val="824"/>
        </w:trPr>
        <w:tc>
          <w:tcPr>
            <w:tcW w:w="63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1.3.3 Fuqizimi i qendrave </w:t>
            </w:r>
            <w:r w:rsidRPr="00F17B4A">
              <w:rPr>
                <w:rFonts w:ascii="Book Antiqua" w:hAnsi="Book Antiqua"/>
              </w:rPr>
              <w:lastRenderedPageBreak/>
              <w:t>rajonale të IKSHPK -së duke u dhënë autoritetin e nevojshëm në rajon, trajnimin e nevojshëm dhe pajisjet e TI -së në mënyrë që të rrisin kapacitetin e tyre në sistemin e mbikëqyrjes së SN</w:t>
            </w:r>
          </w:p>
        </w:tc>
        <w:tc>
          <w:tcPr>
            <w:tcW w:w="803"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lastRenderedPageBreak/>
              <w:t>1.10. Përcaktimi i rolit të njësive të IKShPK-</w:t>
            </w:r>
            <w:r w:rsidRPr="00F17B4A">
              <w:rPr>
                <w:rFonts w:ascii="Book Antiqua" w:hAnsi="Book Antiqua"/>
              </w:rPr>
              <w:lastRenderedPageBreak/>
              <w:t xml:space="preserve">së përmes fuqizimit të kapaciteteve në sistemin e mbikëqyrjes së SN </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041227">
            <w:pPr>
              <w:rPr>
                <w:rFonts w:ascii="Book Antiqua" w:hAnsi="Book Antiqua"/>
              </w:rPr>
            </w:pPr>
            <w:r>
              <w:rPr>
                <w:rFonts w:ascii="Book Antiqua" w:hAnsi="Book Antiqua"/>
              </w:rPr>
              <w:lastRenderedPageBreak/>
              <w:t>2024</w:t>
            </w: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2500 €</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 DL</w:t>
            </w:r>
          </w:p>
        </w:tc>
        <w:tc>
          <w:tcPr>
            <w:tcW w:w="689"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Fuqizimi i kapaciteteve </w:t>
            </w:r>
            <w:r w:rsidRPr="00F17B4A">
              <w:rPr>
                <w:rFonts w:ascii="Book Antiqua" w:hAnsi="Book Antiqua"/>
              </w:rPr>
              <w:lastRenderedPageBreak/>
              <w:t>njerëzore dhe materiale</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Trajnimet e stafit për mbikëqyrje, analizë të SN</w:t>
            </w:r>
          </w:p>
        </w:tc>
      </w:tr>
      <w:tr w:rsidR="004F1A82" w:rsidRPr="00F17B4A" w:rsidTr="00B03549">
        <w:trPr>
          <w:trHeight w:val="824"/>
        </w:trPr>
        <w:tc>
          <w:tcPr>
            <w:tcW w:w="63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lastRenderedPageBreak/>
              <w:t>1.4.1 Miratimi i planeve dhe strategjive më të realizueshme</w:t>
            </w:r>
          </w:p>
        </w:tc>
        <w:tc>
          <w:tcPr>
            <w:tcW w:w="803"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1.11. Hartimi i politikave të bazuara në dëshmi</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DZhSSh, DIEKP </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ZPS/ZKM</w:t>
            </w:r>
          </w:p>
        </w:tc>
        <w:tc>
          <w:tcPr>
            <w:tcW w:w="68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Aprovimi i Programit për sëmundje ngjitëse </w:t>
            </w:r>
            <w:r w:rsidR="00D8455B">
              <w:rPr>
                <w:rFonts w:ascii="Book Antiqua" w:hAnsi="Book Antiqua"/>
              </w:rPr>
              <w:t>2023</w:t>
            </w:r>
            <w:r w:rsidRPr="00F17B4A">
              <w:rPr>
                <w:rFonts w:ascii="Book Antiqua" w:hAnsi="Book Antiqua"/>
              </w:rPr>
              <w:t>-2032</w:t>
            </w:r>
          </w:p>
        </w:tc>
      </w:tr>
      <w:tr w:rsidR="004F1A82" w:rsidRPr="00F17B4A" w:rsidTr="00B03549">
        <w:trPr>
          <w:trHeight w:val="830"/>
        </w:trPr>
        <w:tc>
          <w:tcPr>
            <w:tcW w:w="63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1.4.2 Zhvillimi i modeleve buxhetore të fokusuara në aktivitetet prioritare të </w:t>
            </w:r>
            <w:r w:rsidRPr="00F17B4A">
              <w:rPr>
                <w:rFonts w:ascii="Book Antiqua" w:hAnsi="Book Antiqua"/>
              </w:rPr>
              <w:lastRenderedPageBreak/>
              <w:t>zgjedhura duke përdorur kritere transparente dhe duke marrë parasysh burimet në dispozicion</w:t>
            </w:r>
          </w:p>
        </w:tc>
        <w:tc>
          <w:tcPr>
            <w:tcW w:w="803"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lastRenderedPageBreak/>
              <w:t>1.12. Planifikimi i buxhetit bazuar në nevoja reale</w:t>
            </w:r>
          </w:p>
          <w:p w:rsidR="004F1A82" w:rsidRPr="00F17B4A" w:rsidRDefault="004F1A82" w:rsidP="00BB4474">
            <w:pPr>
              <w:rPr>
                <w:rFonts w:ascii="Book Antiqua" w:hAnsi="Book Antiqua"/>
              </w:rPr>
            </w:pP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ZKF, DZhSSh, DIEKP</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ZPS/ZKM</w:t>
            </w:r>
          </w:p>
        </w:tc>
        <w:tc>
          <w:tcPr>
            <w:tcW w:w="689"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Buxheti i planifikuar sipas nevojave prioritare të identifikuara</w:t>
            </w:r>
          </w:p>
          <w:p w:rsidR="004F1A82" w:rsidRPr="00F17B4A" w:rsidRDefault="004F1A82" w:rsidP="00BB4474">
            <w:pPr>
              <w:rPr>
                <w:rFonts w:ascii="Book Antiqua" w:hAnsi="Book Antiqua"/>
              </w:rPr>
            </w:pPr>
          </w:p>
        </w:tc>
      </w:tr>
      <w:tr w:rsidR="004F1A82" w:rsidRPr="00F17B4A" w:rsidTr="00B03549">
        <w:trPr>
          <w:trHeight w:val="3407"/>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803"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1.13. Propozimi i formulës për grant qeveritar për shëndetësi bazuar në s</w:t>
            </w:r>
            <w:r w:rsidR="00B03549">
              <w:rPr>
                <w:rFonts w:ascii="Book Antiqua" w:hAnsi="Book Antiqua"/>
              </w:rPr>
              <w:t>tandardet e përcaktuara</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30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0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42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Kosto administrative</w:t>
            </w:r>
          </w:p>
        </w:tc>
        <w:tc>
          <w:tcPr>
            <w:tcW w:w="49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484"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MF, Komunat</w:t>
            </w:r>
          </w:p>
        </w:tc>
        <w:tc>
          <w:tcPr>
            <w:tcW w:w="689"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Granti qeveritar i ndarë bazuar në prioritetet e identifikuara</w:t>
            </w:r>
          </w:p>
        </w:tc>
      </w:tr>
    </w:tbl>
    <w:p w:rsidR="004F1A82" w:rsidRPr="00F17B4A" w:rsidRDefault="004F1A82" w:rsidP="00BB4474">
      <w:pPr>
        <w:rPr>
          <w:rFonts w:ascii="Book Antiqua" w:hAnsi="Book Antiqua"/>
        </w:rPr>
      </w:pPr>
    </w:p>
    <w:p w:rsidR="00D85E80" w:rsidRPr="00F17B4A" w:rsidRDefault="00D85E80" w:rsidP="00BB4474">
      <w:pPr>
        <w:rPr>
          <w:rFonts w:ascii="Book Antiqua" w:hAnsi="Book Antiqua"/>
        </w:rPr>
      </w:pPr>
    </w:p>
    <w:p w:rsidR="00C46FF1" w:rsidRPr="00F17B4A" w:rsidRDefault="00C46FF1" w:rsidP="00BB4474">
      <w:pPr>
        <w:rPr>
          <w:rFonts w:ascii="Book Antiqua" w:hAnsi="Book Antiqua"/>
        </w:rPr>
      </w:pPr>
    </w:p>
    <w:p w:rsidR="00D85E80" w:rsidRPr="00F17B4A" w:rsidRDefault="00C46FF1" w:rsidP="00BB4474">
      <w:pPr>
        <w:rPr>
          <w:rFonts w:ascii="Book Antiqua" w:hAnsi="Book Antiqua"/>
        </w:rPr>
      </w:pPr>
      <w:r w:rsidRPr="00F17B4A">
        <w:rPr>
          <w:rFonts w:ascii="Book Antiqua" w:hAnsi="Book Antiqua"/>
        </w:rPr>
        <w:t>2. BURIMET NJEREZORE</w:t>
      </w:r>
    </w:p>
    <w:tbl>
      <w:tblPr>
        <w:tblpPr w:leftFromText="180" w:rightFromText="180" w:vertAnchor="text" w:tblpXSpec="center" w:tblpY="1"/>
        <w:tblOverlap w:val="never"/>
        <w:tblW w:w="5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126"/>
        <w:gridCol w:w="1229"/>
        <w:gridCol w:w="1238"/>
        <w:gridCol w:w="1082"/>
        <w:gridCol w:w="1132"/>
        <w:gridCol w:w="1568"/>
        <w:gridCol w:w="1264"/>
        <w:gridCol w:w="1621"/>
        <w:gridCol w:w="2151"/>
      </w:tblGrid>
      <w:tr w:rsidR="00D85E80" w:rsidRPr="00F17B4A" w:rsidTr="00B03549">
        <w:trPr>
          <w:trHeight w:val="269"/>
        </w:trPr>
        <w:tc>
          <w:tcPr>
            <w:tcW w:w="5000" w:type="pct"/>
            <w:gridSpan w:val="10"/>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85E80" w:rsidRPr="00F17B4A" w:rsidRDefault="00D85E80" w:rsidP="00BB4474">
            <w:pPr>
              <w:rPr>
                <w:rFonts w:ascii="Book Antiqua" w:hAnsi="Book Antiqua"/>
              </w:rPr>
            </w:pPr>
            <w:r w:rsidRPr="00F17B4A">
              <w:rPr>
                <w:rFonts w:ascii="Book Antiqua" w:hAnsi="Book Antiqua"/>
              </w:rPr>
              <w:t>OBJEKTIVA STRATEGJIKE – Burimet Njerëzore</w:t>
            </w:r>
          </w:p>
        </w:tc>
      </w:tr>
      <w:tr w:rsidR="00D85E80" w:rsidRPr="00F17B4A" w:rsidTr="00B03549">
        <w:trPr>
          <w:trHeight w:val="269"/>
        </w:trPr>
        <w:tc>
          <w:tcPr>
            <w:tcW w:w="14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5E80" w:rsidRPr="00F17B4A" w:rsidRDefault="00D85E80" w:rsidP="00BB4474">
            <w:pPr>
              <w:rPr>
                <w:rFonts w:ascii="Book Antiqua" w:hAnsi="Book Antiqua"/>
              </w:rPr>
            </w:pPr>
            <w:r w:rsidRPr="00F17B4A">
              <w:rPr>
                <w:rFonts w:ascii="Book Antiqua" w:hAnsi="Book Antiqua"/>
              </w:rPr>
              <w:t>Objektiva Specifike 1–  Qasje progresive në Planin e Zhvillimit të Burimeve Njerëzore</w:t>
            </w:r>
          </w:p>
          <w:p w:rsidR="00D85E80" w:rsidRPr="00F17B4A" w:rsidRDefault="00D85E80" w:rsidP="00BB4474">
            <w:pPr>
              <w:rPr>
                <w:rFonts w:ascii="Book Antiqua" w:hAnsi="Book Antiqua"/>
              </w:rPr>
            </w:pPr>
          </w:p>
        </w:tc>
        <w:tc>
          <w:tcPr>
            <w:tcW w:w="199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5E80" w:rsidRPr="00F17B4A" w:rsidRDefault="00D85E80" w:rsidP="00BB4474">
            <w:pPr>
              <w:rPr>
                <w:rFonts w:ascii="Book Antiqua" w:hAnsi="Book Antiqua"/>
              </w:rPr>
            </w:pPr>
            <w:r w:rsidRPr="00F17B4A">
              <w:rPr>
                <w:rFonts w:ascii="Book Antiqua" w:hAnsi="Book Antiqua"/>
              </w:rPr>
              <w:t>Treguesi (t) për matjen e objektivit</w:t>
            </w:r>
          </w:p>
        </w:tc>
        <w:tc>
          <w:tcPr>
            <w:tcW w:w="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5E80" w:rsidRPr="00F17B4A" w:rsidRDefault="00D85E80" w:rsidP="00BB4474">
            <w:pPr>
              <w:rPr>
                <w:rFonts w:ascii="Book Antiqua" w:hAnsi="Book Antiqua"/>
              </w:rPr>
            </w:pPr>
            <w:r w:rsidRPr="00F17B4A">
              <w:rPr>
                <w:rFonts w:ascii="Book Antiqua" w:hAnsi="Book Antiqua"/>
              </w:rPr>
              <w:t>Baza 2021</w:t>
            </w:r>
          </w:p>
        </w:tc>
        <w:tc>
          <w:tcPr>
            <w:tcW w:w="5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5E80" w:rsidRPr="00F17B4A" w:rsidRDefault="00D85E80" w:rsidP="00BB4474">
            <w:pPr>
              <w:rPr>
                <w:rFonts w:ascii="Book Antiqua" w:hAnsi="Book Antiqua"/>
              </w:rPr>
            </w:pPr>
            <w:r w:rsidRPr="00F17B4A">
              <w:rPr>
                <w:rFonts w:ascii="Book Antiqua" w:hAnsi="Book Antiqua"/>
              </w:rPr>
              <w:t xml:space="preserve">Caku </w:t>
            </w:r>
            <w:r w:rsidR="00D8455B">
              <w:rPr>
                <w:rFonts w:ascii="Book Antiqua" w:hAnsi="Book Antiqua"/>
              </w:rPr>
              <w:t>2023</w:t>
            </w:r>
          </w:p>
        </w:tc>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 xml:space="preserve">Caku </w:t>
            </w:r>
            <w:r w:rsidR="00D8455B">
              <w:rPr>
                <w:rFonts w:ascii="Book Antiqua" w:hAnsi="Book Antiqua"/>
              </w:rPr>
              <w:t>2025</w:t>
            </w:r>
          </w:p>
          <w:p w:rsidR="00D85E80" w:rsidRPr="00F17B4A" w:rsidRDefault="00D85E80" w:rsidP="00BB4474">
            <w:pPr>
              <w:rPr>
                <w:rFonts w:ascii="Book Antiqua" w:hAnsi="Book Antiqua"/>
              </w:rPr>
            </w:pPr>
          </w:p>
        </w:tc>
      </w:tr>
      <w:tr w:rsidR="00D85E80" w:rsidRPr="00F17B4A" w:rsidTr="00B03549">
        <w:trPr>
          <w:trHeight w:val="719"/>
        </w:trPr>
        <w:tc>
          <w:tcPr>
            <w:tcW w:w="723" w:type="pct"/>
            <w:vMerge w:val="restart"/>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 xml:space="preserve">Rekomandimet </w:t>
            </w:r>
            <w:r w:rsidRPr="00F17B4A">
              <w:rPr>
                <w:rFonts w:ascii="Book Antiqua" w:hAnsi="Book Antiqua"/>
              </w:rPr>
              <w:lastRenderedPageBreak/>
              <w:t xml:space="preserve">ECDC </w:t>
            </w:r>
          </w:p>
          <w:p w:rsidR="00D85E80" w:rsidRPr="00F17B4A" w:rsidRDefault="00D85E80" w:rsidP="00BB4474">
            <w:pPr>
              <w:rPr>
                <w:rFonts w:ascii="Book Antiqua" w:hAnsi="Book Antiqua"/>
              </w:rPr>
            </w:pPr>
          </w:p>
        </w:tc>
        <w:tc>
          <w:tcPr>
            <w:tcW w:w="678" w:type="pct"/>
            <w:vMerge w:val="restart"/>
            <w:tcBorders>
              <w:top w:val="single" w:sz="4" w:space="0" w:color="auto"/>
              <w:left w:val="single" w:sz="4" w:space="0" w:color="auto"/>
              <w:right w:val="single" w:sz="4" w:space="0" w:color="auto"/>
            </w:tcBorders>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Aktiviteti</w:t>
            </w:r>
          </w:p>
        </w:tc>
        <w:tc>
          <w:tcPr>
            <w:tcW w:w="1993" w:type="pct"/>
            <w:gridSpan w:val="5"/>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r>
      <w:tr w:rsidR="00D85E80" w:rsidRPr="00F17B4A" w:rsidTr="00B03549">
        <w:trPr>
          <w:trHeight w:val="530"/>
        </w:trPr>
        <w:tc>
          <w:tcPr>
            <w:tcW w:w="723" w:type="pct"/>
            <w:vMerge/>
            <w:tcBorders>
              <w:left w:val="single" w:sz="4" w:space="0" w:color="auto"/>
              <w:right w:val="single" w:sz="4" w:space="0" w:color="auto"/>
            </w:tcBorders>
            <w:shd w:val="clear" w:color="auto" w:fill="C2D69B" w:themeFill="accent3" w:themeFillTint="99"/>
            <w:vAlign w:val="center"/>
            <w:hideMark/>
          </w:tcPr>
          <w:p w:rsidR="00D85E80" w:rsidRPr="00F17B4A" w:rsidRDefault="00D85E80" w:rsidP="00BB4474">
            <w:pPr>
              <w:rPr>
                <w:rFonts w:ascii="Book Antiqua" w:hAnsi="Book Antiqua"/>
              </w:rPr>
            </w:pPr>
          </w:p>
        </w:tc>
        <w:tc>
          <w:tcPr>
            <w:tcW w:w="678" w:type="pct"/>
            <w:vMerge/>
            <w:tcBorders>
              <w:left w:val="single" w:sz="4" w:space="0" w:color="auto"/>
              <w:right w:val="single" w:sz="4" w:space="0" w:color="auto"/>
            </w:tcBorders>
          </w:tcPr>
          <w:p w:rsidR="00D85E80" w:rsidRPr="00F17B4A" w:rsidRDefault="00D85E80" w:rsidP="00BB4474">
            <w:pPr>
              <w:rPr>
                <w:rFonts w:ascii="Book Antiqua" w:hAnsi="Book Antiqua"/>
              </w:rPr>
            </w:pPr>
          </w:p>
        </w:tc>
        <w:tc>
          <w:tcPr>
            <w:tcW w:w="392" w:type="pct"/>
            <w:vMerge w:val="restart"/>
            <w:tcBorders>
              <w:top w:val="nil"/>
              <w:left w:val="single" w:sz="4" w:space="0" w:color="auto"/>
              <w:right w:val="single" w:sz="4" w:space="0" w:color="auto"/>
            </w:tcBorders>
            <w:vAlign w:val="center"/>
            <w:hideMark/>
          </w:tcPr>
          <w:p w:rsidR="00D85E80" w:rsidRPr="00F17B4A" w:rsidRDefault="00E75847" w:rsidP="00BB4474">
            <w:pPr>
              <w:rPr>
                <w:rFonts w:ascii="Book Antiqua" w:hAnsi="Book Antiqua"/>
              </w:rPr>
            </w:pPr>
            <w:r>
              <w:rPr>
                <w:rFonts w:ascii="Book Antiqua" w:hAnsi="Book Antiqua"/>
              </w:rPr>
              <w:t xml:space="preserve">Afati </w:t>
            </w:r>
            <w:r>
              <w:rPr>
                <w:rFonts w:ascii="Book Antiqua" w:hAnsi="Book Antiqua"/>
              </w:rPr>
              <w:lastRenderedPageBreak/>
              <w:t>kohor</w:t>
            </w:r>
          </w:p>
        </w:tc>
        <w:tc>
          <w:tcPr>
            <w:tcW w:w="1101" w:type="pct"/>
            <w:gridSpan w:val="3"/>
            <w:tcBorders>
              <w:top w:val="nil"/>
              <w:left w:val="single" w:sz="4" w:space="0" w:color="auto"/>
              <w:bottom w:val="single" w:sz="4" w:space="0" w:color="auto"/>
              <w:right w:val="single" w:sz="4" w:space="0" w:color="auto"/>
            </w:tcBorders>
            <w:shd w:val="clear" w:color="auto" w:fill="F2F2F2"/>
            <w:vAlign w:val="center"/>
            <w:hideMark/>
          </w:tcPr>
          <w:p w:rsidR="00D85E80" w:rsidRPr="00F17B4A" w:rsidRDefault="00E75847" w:rsidP="00BB4474">
            <w:pPr>
              <w:rPr>
                <w:rFonts w:ascii="Book Antiqua" w:hAnsi="Book Antiqua"/>
              </w:rPr>
            </w:pPr>
            <w:r>
              <w:rPr>
                <w:rFonts w:ascii="Book Antiqua" w:hAnsi="Book Antiqua"/>
              </w:rPr>
              <w:lastRenderedPageBreak/>
              <w:t>Kostoja totale</w:t>
            </w:r>
          </w:p>
        </w:tc>
        <w:tc>
          <w:tcPr>
            <w:tcW w:w="500" w:type="pct"/>
            <w:vMerge w:val="restart"/>
            <w:tcBorders>
              <w:top w:val="nil"/>
              <w:left w:val="single" w:sz="4" w:space="0" w:color="auto"/>
              <w:right w:val="single" w:sz="4" w:space="0" w:color="auto"/>
            </w:tcBorders>
            <w:vAlign w:val="center"/>
            <w:hideMark/>
          </w:tcPr>
          <w:p w:rsidR="00D85E80" w:rsidRPr="00F17B4A" w:rsidRDefault="00E75847" w:rsidP="00BB4474">
            <w:pPr>
              <w:rPr>
                <w:rFonts w:ascii="Book Antiqua" w:hAnsi="Book Antiqua"/>
              </w:rPr>
            </w:pPr>
            <w:r>
              <w:rPr>
                <w:rFonts w:ascii="Book Antiqua" w:hAnsi="Book Antiqua"/>
              </w:rPr>
              <w:t xml:space="preserve">Burimi i </w:t>
            </w:r>
            <w:r>
              <w:rPr>
                <w:rFonts w:ascii="Book Antiqua" w:hAnsi="Book Antiqua"/>
              </w:rPr>
              <w:lastRenderedPageBreak/>
              <w:t>financimit</w:t>
            </w:r>
          </w:p>
        </w:tc>
        <w:tc>
          <w:tcPr>
            <w:tcW w:w="403" w:type="pct"/>
            <w:vMerge w:val="restart"/>
            <w:tcBorders>
              <w:top w:val="single" w:sz="4" w:space="0" w:color="auto"/>
              <w:left w:val="single" w:sz="4" w:space="0" w:color="auto"/>
              <w:right w:val="single" w:sz="4" w:space="0" w:color="auto"/>
            </w:tcBorders>
            <w:vAlign w:val="center"/>
            <w:hideMark/>
          </w:tcPr>
          <w:p w:rsidR="00D85E80" w:rsidRPr="00E75847" w:rsidRDefault="00E75847" w:rsidP="00BB4474">
            <w:pPr>
              <w:rPr>
                <w:rFonts w:ascii="Book Antiqua" w:hAnsi="Book Antiqua"/>
              </w:rPr>
            </w:pPr>
            <w:r w:rsidRPr="00E75847">
              <w:rPr>
                <w:rFonts w:ascii="Book Antiqua" w:hAnsi="Book Antiqua"/>
              </w:rPr>
              <w:lastRenderedPageBreak/>
              <w:t>Institucion</w:t>
            </w:r>
            <w:r w:rsidRPr="00E75847">
              <w:rPr>
                <w:rFonts w:ascii="Book Antiqua" w:hAnsi="Book Antiqua"/>
              </w:rPr>
              <w:lastRenderedPageBreak/>
              <w:t>i udhëheqës</w:t>
            </w:r>
          </w:p>
        </w:tc>
        <w:tc>
          <w:tcPr>
            <w:tcW w:w="517" w:type="pct"/>
            <w:vMerge w:val="restart"/>
            <w:tcBorders>
              <w:top w:val="single" w:sz="4" w:space="0" w:color="auto"/>
              <w:left w:val="single" w:sz="4" w:space="0" w:color="auto"/>
              <w:right w:val="single" w:sz="4" w:space="0" w:color="auto"/>
            </w:tcBorders>
            <w:vAlign w:val="center"/>
            <w:hideMark/>
          </w:tcPr>
          <w:p w:rsidR="00D85E80" w:rsidRPr="00E75847" w:rsidRDefault="00D85E80" w:rsidP="00E75847">
            <w:pPr>
              <w:rPr>
                <w:rFonts w:ascii="Book Antiqua" w:hAnsi="Book Antiqua"/>
              </w:rPr>
            </w:pPr>
            <w:r w:rsidRPr="00E75847">
              <w:rPr>
                <w:rFonts w:ascii="Book Antiqua" w:hAnsi="Book Antiqua"/>
              </w:rPr>
              <w:lastRenderedPageBreak/>
              <w:t xml:space="preserve"> Institution</w:t>
            </w:r>
            <w:r w:rsidR="00E75847">
              <w:rPr>
                <w:rFonts w:ascii="Book Antiqua" w:hAnsi="Book Antiqua"/>
              </w:rPr>
              <w:t xml:space="preserve">i </w:t>
            </w:r>
            <w:r w:rsidR="00E75847">
              <w:rPr>
                <w:rFonts w:ascii="Book Antiqua" w:hAnsi="Book Antiqua"/>
              </w:rPr>
              <w:lastRenderedPageBreak/>
              <w:t>mbështetës</w:t>
            </w:r>
          </w:p>
        </w:tc>
        <w:tc>
          <w:tcPr>
            <w:tcW w:w="686" w:type="pct"/>
            <w:vMerge w:val="restart"/>
            <w:tcBorders>
              <w:top w:val="single" w:sz="4" w:space="0" w:color="auto"/>
              <w:left w:val="single" w:sz="4" w:space="0" w:color="auto"/>
              <w:right w:val="single" w:sz="4" w:space="0" w:color="auto"/>
            </w:tcBorders>
            <w:hideMark/>
          </w:tcPr>
          <w:p w:rsidR="00D85E80" w:rsidRPr="00746FC7" w:rsidRDefault="00D85E80" w:rsidP="00BB4474">
            <w:pPr>
              <w:rPr>
                <w:rFonts w:ascii="Book Antiqua" w:hAnsi="Book Antiqua"/>
                <w:highlight w:val="yellow"/>
              </w:rPr>
            </w:pPr>
          </w:p>
          <w:p w:rsidR="00D85E80" w:rsidRPr="00746FC7" w:rsidRDefault="00E75847" w:rsidP="00BB4474">
            <w:pPr>
              <w:rPr>
                <w:rFonts w:ascii="Book Antiqua" w:hAnsi="Book Antiqua"/>
                <w:highlight w:val="yellow"/>
              </w:rPr>
            </w:pPr>
            <w:r w:rsidRPr="00E75847">
              <w:rPr>
                <w:rFonts w:ascii="Book Antiqua" w:hAnsi="Book Antiqua"/>
              </w:rPr>
              <w:lastRenderedPageBreak/>
              <w:t>Produkti</w:t>
            </w:r>
          </w:p>
        </w:tc>
      </w:tr>
      <w:tr w:rsidR="00D85E80" w:rsidRPr="00F17B4A" w:rsidTr="00B03549">
        <w:trPr>
          <w:trHeight w:val="503"/>
        </w:trPr>
        <w:tc>
          <w:tcPr>
            <w:tcW w:w="723" w:type="pct"/>
            <w:vMerge/>
            <w:tcBorders>
              <w:left w:val="single" w:sz="4" w:space="0" w:color="auto"/>
              <w:bottom w:val="single" w:sz="4" w:space="0" w:color="auto"/>
              <w:right w:val="single" w:sz="4" w:space="0" w:color="auto"/>
            </w:tcBorders>
            <w:shd w:val="clear" w:color="auto" w:fill="C2D69B" w:themeFill="accent3" w:themeFillTint="99"/>
            <w:vAlign w:val="center"/>
            <w:hideMark/>
          </w:tcPr>
          <w:p w:rsidR="00D85E80" w:rsidRPr="00F17B4A" w:rsidRDefault="00D85E80" w:rsidP="00BB4474">
            <w:pPr>
              <w:rPr>
                <w:rFonts w:ascii="Book Antiqua" w:hAnsi="Book Antiqua"/>
              </w:rPr>
            </w:pPr>
          </w:p>
        </w:tc>
        <w:tc>
          <w:tcPr>
            <w:tcW w:w="678" w:type="pct"/>
            <w:vMerge/>
            <w:tcBorders>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392"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395" w:type="pct"/>
            <w:tcBorders>
              <w:top w:val="single" w:sz="4" w:space="0" w:color="auto"/>
              <w:left w:val="single" w:sz="4" w:space="0" w:color="auto"/>
              <w:bottom w:val="single" w:sz="4" w:space="0" w:color="auto"/>
              <w:right w:val="single" w:sz="4" w:space="0" w:color="auto"/>
            </w:tcBorders>
            <w:shd w:val="clear" w:color="auto" w:fill="F2F2F2"/>
            <w:vAlign w:val="center"/>
          </w:tcPr>
          <w:p w:rsidR="00D85E80" w:rsidRPr="00F17B4A" w:rsidRDefault="00E75847" w:rsidP="00BB4474">
            <w:pPr>
              <w:rPr>
                <w:rFonts w:ascii="Book Antiqua" w:hAnsi="Book Antiqua"/>
              </w:rPr>
            </w:pPr>
            <w:r>
              <w:rPr>
                <w:rFonts w:ascii="Book Antiqua" w:hAnsi="Book Antiqua"/>
              </w:rPr>
              <w:t>Viti</w:t>
            </w:r>
          </w:p>
          <w:p w:rsidR="00D85E80" w:rsidRPr="00F17B4A" w:rsidRDefault="00D8455B" w:rsidP="00BB4474">
            <w:pPr>
              <w:rPr>
                <w:rFonts w:ascii="Book Antiqua" w:hAnsi="Book Antiqua"/>
              </w:rPr>
            </w:pPr>
            <w:r>
              <w:rPr>
                <w:rFonts w:ascii="Book Antiqua" w:hAnsi="Book Antiqua"/>
              </w:rPr>
              <w:t>2023</w:t>
            </w:r>
          </w:p>
        </w:tc>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rsidR="00D85E80" w:rsidRPr="00F17B4A" w:rsidRDefault="00E75847" w:rsidP="00BB4474">
            <w:pPr>
              <w:rPr>
                <w:rFonts w:ascii="Book Antiqua" w:hAnsi="Book Antiqua"/>
              </w:rPr>
            </w:pPr>
            <w:r>
              <w:rPr>
                <w:rFonts w:ascii="Book Antiqua" w:hAnsi="Book Antiqua"/>
              </w:rPr>
              <w:t>Viti</w:t>
            </w:r>
          </w:p>
          <w:p w:rsidR="00D85E80" w:rsidRPr="00F17B4A" w:rsidRDefault="00D8455B" w:rsidP="00BB4474">
            <w:pPr>
              <w:rPr>
                <w:rFonts w:ascii="Book Antiqua" w:hAnsi="Book Antiqua"/>
              </w:rPr>
            </w:pPr>
            <w:r>
              <w:rPr>
                <w:rFonts w:ascii="Book Antiqua" w:hAnsi="Book Antiqua"/>
              </w:rPr>
              <w:t>2024</w:t>
            </w:r>
          </w:p>
        </w:tc>
        <w:tc>
          <w:tcPr>
            <w:tcW w:w="361" w:type="pct"/>
            <w:tcBorders>
              <w:top w:val="single" w:sz="4" w:space="0" w:color="auto"/>
              <w:left w:val="single" w:sz="4" w:space="0" w:color="auto"/>
              <w:bottom w:val="single" w:sz="4" w:space="0" w:color="auto"/>
              <w:right w:val="single" w:sz="4" w:space="0" w:color="auto"/>
            </w:tcBorders>
            <w:shd w:val="clear" w:color="auto" w:fill="F2F2F2"/>
            <w:vAlign w:val="center"/>
          </w:tcPr>
          <w:p w:rsidR="00D85E80" w:rsidRPr="00F17B4A" w:rsidRDefault="00E75847" w:rsidP="00BB4474">
            <w:pPr>
              <w:rPr>
                <w:rFonts w:ascii="Book Antiqua" w:hAnsi="Book Antiqua"/>
              </w:rPr>
            </w:pPr>
            <w:r>
              <w:rPr>
                <w:rFonts w:ascii="Book Antiqua" w:hAnsi="Book Antiqua"/>
              </w:rPr>
              <w:t>Viti</w:t>
            </w:r>
          </w:p>
          <w:p w:rsidR="00D85E80" w:rsidRPr="00F17B4A" w:rsidRDefault="00D8455B" w:rsidP="00BB4474">
            <w:pPr>
              <w:rPr>
                <w:rFonts w:ascii="Book Antiqua" w:hAnsi="Book Antiqua"/>
              </w:rPr>
            </w:pPr>
            <w:r>
              <w:rPr>
                <w:rFonts w:ascii="Book Antiqua" w:hAnsi="Book Antiqua"/>
              </w:rPr>
              <w:t>2025</w:t>
            </w:r>
          </w:p>
        </w:tc>
        <w:tc>
          <w:tcPr>
            <w:tcW w:w="500"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403"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517"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686"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r>
      <w:tr w:rsidR="00D85E80" w:rsidRPr="00F17B4A" w:rsidTr="00B03549">
        <w:trPr>
          <w:trHeight w:val="1520"/>
        </w:trPr>
        <w:tc>
          <w:tcPr>
            <w:tcW w:w="723" w:type="pct"/>
            <w:vMerge w:val="restart"/>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r w:rsidRPr="00F17B4A">
              <w:rPr>
                <w:rFonts w:ascii="Book Antiqua" w:hAnsi="Book Antiqua"/>
              </w:rPr>
              <w:lastRenderedPageBreak/>
              <w:t>2.1.XX</w:t>
            </w:r>
          </w:p>
          <w:p w:rsidR="00D85E80" w:rsidRPr="00F17B4A" w:rsidRDefault="00D85E80" w:rsidP="00BB4474">
            <w:pPr>
              <w:rPr>
                <w:rFonts w:ascii="Book Antiqua" w:hAnsi="Book Antiqua"/>
              </w:rPr>
            </w:pPr>
            <w:r w:rsidRPr="00F17B4A">
              <w:rPr>
                <w:rFonts w:ascii="Book Antiqua" w:hAnsi="Book Antiqua"/>
              </w:rPr>
              <w:t>Zhvillimi i Planit dhjetëvjeçar të Burimeve Njerëzore</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2.1.1.  Krijimi i GP për të analizuar ngarkesën e punës së BNJ  </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AB112C">
              <w:rPr>
                <w:rFonts w:ascii="Book Antiqua" w:hAnsi="Book Antiqua"/>
              </w:rPr>
              <w:t xml:space="preserve">Dhjetor </w:t>
            </w:r>
            <w:r w:rsidR="00D8455B" w:rsidRPr="00AB112C">
              <w:rPr>
                <w:rFonts w:ascii="Book Antiqua" w:hAnsi="Book Antiqua"/>
              </w:rPr>
              <w:t>2023</w:t>
            </w:r>
            <w:r w:rsidRPr="00F17B4A">
              <w:rPr>
                <w:rFonts w:ascii="Book Antiqua" w:hAnsi="Book Antiqua"/>
              </w:rPr>
              <w:t xml:space="preserve"> </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10,000 €</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 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MASHTI</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Ministria e Punës dhe Mirëqenies Sociale</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Donatorët</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 xml:space="preserve">Dhomat e Profesionistëve të Shëndetësisë  </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Raporti i Grupit të Punës</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Raport studimor</w:t>
            </w:r>
          </w:p>
        </w:tc>
      </w:tr>
      <w:tr w:rsidR="00D85E80" w:rsidRPr="00F17B4A" w:rsidTr="00B03549">
        <w:trPr>
          <w:trHeight w:val="530"/>
        </w:trPr>
        <w:tc>
          <w:tcPr>
            <w:tcW w:w="723" w:type="pct"/>
            <w:vMerge/>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2.1.2. </w:t>
            </w:r>
          </w:p>
          <w:p w:rsidR="00D85E80" w:rsidRPr="00F17B4A" w:rsidRDefault="00D64229" w:rsidP="00BB4474">
            <w:pPr>
              <w:rPr>
                <w:rFonts w:ascii="Book Antiqua" w:hAnsi="Book Antiqua"/>
              </w:rPr>
            </w:pPr>
            <w:r w:rsidRPr="00F17B4A">
              <w:rPr>
                <w:rFonts w:ascii="Book Antiqua" w:hAnsi="Book Antiqua"/>
              </w:rPr>
              <w:t xml:space="preserve">Zhvillimi i </w:t>
            </w:r>
            <w:r w:rsidR="00D85E80" w:rsidRPr="00F17B4A">
              <w:rPr>
                <w:rFonts w:ascii="Book Antiqua" w:hAnsi="Book Antiqua"/>
              </w:rPr>
              <w:t>plani</w:t>
            </w:r>
            <w:r w:rsidRPr="00F17B4A">
              <w:rPr>
                <w:rFonts w:ascii="Book Antiqua" w:hAnsi="Book Antiqua"/>
              </w:rPr>
              <w:t>t për zbatim</w:t>
            </w:r>
            <w:r w:rsidR="00D85E80" w:rsidRPr="00F17B4A">
              <w:rPr>
                <w:rFonts w:ascii="Book Antiqua" w:hAnsi="Book Antiqua"/>
              </w:rPr>
              <w:t xml:space="preserve"> </w:t>
            </w:r>
            <w:r w:rsidR="00D85E80" w:rsidRPr="00F17B4A">
              <w:rPr>
                <w:rFonts w:ascii="Book Antiqua" w:hAnsi="Book Antiqua"/>
              </w:rPr>
              <w:lastRenderedPageBreak/>
              <w:t>afatgjatë për të përmirësuar mbulimin, bazuar në gjetjet nga vlerësimi i BNj</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lastRenderedPageBreak/>
              <w:t>2023</w:t>
            </w:r>
            <w:r w:rsidR="00D85E80" w:rsidRPr="00F17B4A">
              <w:rPr>
                <w:rFonts w:ascii="Book Antiqua" w:hAnsi="Book Antiqua"/>
              </w:rPr>
              <w:t>-23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lastRenderedPageBreak/>
              <w:t>MASHTI</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lastRenderedPageBreak/>
              <w:t>Ministria e Punës dhe Mirëqenies Sociale</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r w:rsidRPr="00F17B4A">
              <w:rPr>
                <w:rFonts w:ascii="Book Antiqua" w:hAnsi="Book Antiqua"/>
              </w:rPr>
              <w:t>Odat e profesionisteve shendetesor</w:t>
            </w: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lastRenderedPageBreak/>
              <w:t xml:space="preserve">Plani i zbatimit është krijuar dhe pasqyruar në </w:t>
            </w:r>
            <w:r w:rsidRPr="00F17B4A">
              <w:rPr>
                <w:rFonts w:ascii="Book Antiqua" w:hAnsi="Book Antiqua"/>
              </w:rPr>
              <w:lastRenderedPageBreak/>
              <w:t>Strategjinë e Zbatimit të Burimeve Njerëzore</w:t>
            </w:r>
          </w:p>
        </w:tc>
      </w:tr>
      <w:tr w:rsidR="00D85E80" w:rsidRPr="00F17B4A" w:rsidTr="00B03549">
        <w:trPr>
          <w:trHeight w:val="4040"/>
        </w:trPr>
        <w:tc>
          <w:tcPr>
            <w:tcW w:w="723" w:type="pct"/>
            <w:vMerge/>
            <w:tcBorders>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2.1.3.   Përditësimi i bazës së të dhënave të burimeve njerëzore</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r w:rsidR="00D85E80" w:rsidRPr="00F17B4A">
              <w:rPr>
                <w:rFonts w:ascii="Book Antiqua" w:hAnsi="Book Antiqua"/>
              </w:rPr>
              <w:t>-</w:t>
            </w:r>
            <w:r>
              <w:rPr>
                <w:rFonts w:ascii="Book Antiqua" w:hAnsi="Book Antiqua"/>
              </w:rPr>
              <w:t>2025</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 xml:space="preserve"> 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MASHTI</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Ministria e Punës dhe Mirëqenies Sociale</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r w:rsidRPr="00F17B4A">
              <w:rPr>
                <w:rFonts w:ascii="Book Antiqua" w:hAnsi="Book Antiqua"/>
              </w:rPr>
              <w:t>Odat e profesionisteve shendetesor</w:t>
            </w: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Të dhënat e gjeneruara nga baza e të dhënave</w:t>
            </w:r>
          </w:p>
        </w:tc>
      </w:tr>
      <w:tr w:rsidR="00D85E80" w:rsidRPr="00F17B4A" w:rsidTr="00B03549">
        <w:trPr>
          <w:trHeight w:val="1230"/>
        </w:trPr>
        <w:tc>
          <w:tcPr>
            <w:tcW w:w="723" w:type="pct"/>
            <w:vMerge w:val="restart"/>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r w:rsidRPr="00F17B4A">
              <w:rPr>
                <w:rFonts w:ascii="Book Antiqua" w:hAnsi="Book Antiqua"/>
              </w:rPr>
              <w:lastRenderedPageBreak/>
              <w:t>2.2.  Rishikim i funksioneve te shëndetit publik që do të kryhen në nivel rajonal dhe kombëtar, përshtatni postin dhe përshkrimin e punës me këto funksione.</w:t>
            </w: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2.2.1.    Përditësimi dhe monitorimi i kritereve të normave dhe standardeve për burimet njerëzore  </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MASHTI</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Ministria e Punës dhe Mirëqenies Sociale</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r w:rsidRPr="00F17B4A">
              <w:rPr>
                <w:rFonts w:ascii="Book Antiqua" w:hAnsi="Book Antiqua"/>
              </w:rPr>
              <w:t>Odat e profesionisteve shendetesor</w:t>
            </w: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Normat e përcaktuara të personelit</w:t>
            </w:r>
          </w:p>
        </w:tc>
      </w:tr>
      <w:tr w:rsidR="00D85E80" w:rsidRPr="00F17B4A" w:rsidTr="00B03549">
        <w:trPr>
          <w:trHeight w:val="2330"/>
        </w:trPr>
        <w:tc>
          <w:tcPr>
            <w:tcW w:w="723" w:type="pct"/>
            <w:vMerge/>
            <w:tcBorders>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2.2.2.  Procedurat Standarde </w:t>
            </w:r>
            <w:r w:rsidR="00D64229" w:rsidRPr="00F17B4A">
              <w:rPr>
                <w:rFonts w:ascii="Book Antiqua" w:hAnsi="Book Antiqua"/>
              </w:rPr>
              <w:t>operative</w:t>
            </w:r>
            <w:r w:rsidRPr="00F17B4A">
              <w:rPr>
                <w:rFonts w:ascii="Book Antiqua" w:hAnsi="Book Antiqua"/>
              </w:rPr>
              <w:t xml:space="preserve"> (PSO) të rishikuara;</w:t>
            </w:r>
          </w:p>
          <w:p w:rsidR="00D85E80" w:rsidRPr="00F17B4A" w:rsidRDefault="00D85E80" w:rsidP="00BB4474">
            <w:pPr>
              <w:rPr>
                <w:rFonts w:ascii="Book Antiqua" w:hAnsi="Book Antiqua"/>
              </w:rPr>
            </w:pP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p w:rsidR="00D85E80" w:rsidRPr="00F17B4A" w:rsidRDefault="00D85E80" w:rsidP="00BB4474">
            <w:pPr>
              <w:rPr>
                <w:rFonts w:ascii="Book Antiqua" w:hAnsi="Book Antiqua"/>
              </w:rPr>
            </w:pP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MASHTI</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Ministria e Punës dhe Mirëqenies Sociale</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r w:rsidRPr="00F17B4A">
              <w:rPr>
                <w:rFonts w:ascii="Book Antiqua" w:hAnsi="Book Antiqua"/>
              </w:rPr>
              <w:t>Odat e profesionisteve shendetesor</w:t>
            </w: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Përshkrimet e punës të prodhuara;</w:t>
            </w:r>
          </w:p>
        </w:tc>
      </w:tr>
      <w:tr w:rsidR="00D85E80" w:rsidRPr="00F17B4A" w:rsidTr="00B03549">
        <w:trPr>
          <w:trHeight w:val="824"/>
        </w:trPr>
        <w:tc>
          <w:tcPr>
            <w:tcW w:w="723"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r w:rsidRPr="00F17B4A">
              <w:rPr>
                <w:rFonts w:ascii="Book Antiqua" w:hAnsi="Book Antiqua"/>
              </w:rPr>
              <w:lastRenderedPageBreak/>
              <w:t>2.3.  Rishikoni programet e trajnimit pasuniversitar në Shëndetin Publik / Epidemiologji</w:t>
            </w: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2.3.1.  Përditësimi i kurrikulës së specializimit të Shëndetit Publik/Epidemiologjisë</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r w:rsidR="00041227">
              <w:rPr>
                <w:rFonts w:ascii="Book Antiqua" w:hAnsi="Book Antiqua"/>
              </w:rPr>
              <w:t>-Bordi për Shkollim Specialistik</w:t>
            </w:r>
          </w:p>
          <w:p w:rsidR="00D85E80" w:rsidRPr="00F17B4A" w:rsidRDefault="00D85E80" w:rsidP="00BB4474">
            <w:pPr>
              <w:rPr>
                <w:rFonts w:ascii="Book Antiqua" w:hAnsi="Book Antiqua"/>
              </w:rPr>
            </w:pPr>
            <w:r w:rsidRPr="00F17B4A">
              <w:rPr>
                <w:rFonts w:ascii="Book Antiqua" w:hAnsi="Book Antiqua"/>
              </w:rPr>
              <w:t>Fakulteti i Mjekësisë</w:t>
            </w: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Kurrikula e specializuar e rishikuar dhe përditësuar sipas direktivave të BE-së</w:t>
            </w:r>
          </w:p>
        </w:tc>
      </w:tr>
      <w:tr w:rsidR="00D85E80" w:rsidRPr="00F17B4A" w:rsidTr="00B03549">
        <w:trPr>
          <w:trHeight w:val="824"/>
        </w:trPr>
        <w:tc>
          <w:tcPr>
            <w:tcW w:w="723"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2.3.2.   Hartimi i programit të aktiviteteve për Zhvillimin e Vazhdueshëm Profesional për të gjithë kujdesin shëndetësor.</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Donatorët</w:t>
            </w:r>
          </w:p>
          <w:p w:rsidR="00D85E80" w:rsidRPr="00F17B4A" w:rsidRDefault="00D85E80" w:rsidP="00BB4474">
            <w:pPr>
              <w:rPr>
                <w:rFonts w:ascii="Book Antiqua" w:hAnsi="Book Antiqua"/>
              </w:rPr>
            </w:pPr>
            <w:r w:rsidRPr="00F17B4A">
              <w:rPr>
                <w:rFonts w:ascii="Book Antiqua" w:hAnsi="Book Antiqua"/>
              </w:rPr>
              <w:t>Odat e profesionistëve shëndetësor</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OPSH</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Donatorët</w:t>
            </w: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Programet e Arsimit Profesional u përditësuan</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Raporti i aktivitetit është hartuar</w:t>
            </w:r>
          </w:p>
        </w:tc>
      </w:tr>
      <w:tr w:rsidR="00D85E80" w:rsidRPr="00F17B4A" w:rsidTr="00B03549">
        <w:trPr>
          <w:trHeight w:val="824"/>
        </w:trPr>
        <w:tc>
          <w:tcPr>
            <w:tcW w:w="723"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45363B" w:rsidRDefault="00D85E80" w:rsidP="00D64229">
            <w:pPr>
              <w:rPr>
                <w:rFonts w:ascii="Book Antiqua" w:hAnsi="Book Antiqua"/>
              </w:rPr>
            </w:pPr>
            <w:r w:rsidRPr="0045363B">
              <w:rPr>
                <w:rFonts w:ascii="Book Antiqua" w:hAnsi="Book Antiqua"/>
              </w:rPr>
              <w:t xml:space="preserve">2.4.  Ngritja e kapaciteteve për specialistët e shëndetit publik/epidemiologjisë dhe specialistët e mjekësisë familjare, në aplikimin e trajnimeve bazë në menaxhimin e të </w:t>
            </w:r>
            <w:r w:rsidRPr="0045363B">
              <w:rPr>
                <w:rFonts w:ascii="Book Antiqua" w:hAnsi="Book Antiqua"/>
              </w:rPr>
              <w:lastRenderedPageBreak/>
              <w:t xml:space="preserve">dhënave dhe softuerin e analizës </w:t>
            </w:r>
          </w:p>
        </w:tc>
        <w:tc>
          <w:tcPr>
            <w:tcW w:w="678" w:type="pct"/>
            <w:tcBorders>
              <w:top w:val="single" w:sz="4" w:space="0" w:color="auto"/>
              <w:left w:val="single" w:sz="4" w:space="0" w:color="auto"/>
              <w:bottom w:val="single" w:sz="4" w:space="0" w:color="auto"/>
              <w:right w:val="single" w:sz="4" w:space="0" w:color="auto"/>
            </w:tcBorders>
          </w:tcPr>
          <w:p w:rsidR="00D85E80" w:rsidRPr="0045363B" w:rsidRDefault="00D85E80" w:rsidP="00BB4474">
            <w:pPr>
              <w:rPr>
                <w:rFonts w:ascii="Book Antiqua" w:hAnsi="Book Antiqua"/>
              </w:rPr>
            </w:pPr>
            <w:r w:rsidRPr="0045363B">
              <w:rPr>
                <w:rFonts w:ascii="Book Antiqua" w:hAnsi="Book Antiqua"/>
              </w:rPr>
              <w:lastRenderedPageBreak/>
              <w:t>2.4.1.  Trajnim në përdorimin dhe analizën e të dhënave në bazë të nevojave</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 MSH</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KPSH, QZHMF</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lastRenderedPageBreak/>
              <w:t>U zhvillua trajnimi për përdorimin dhe analizën e të dhënave</w:t>
            </w:r>
          </w:p>
          <w:p w:rsidR="00D85E80" w:rsidRPr="00F17B4A" w:rsidRDefault="00D85E80" w:rsidP="00BB4474">
            <w:pPr>
              <w:rPr>
                <w:rFonts w:ascii="Book Antiqua" w:hAnsi="Book Antiqua"/>
              </w:rPr>
            </w:pPr>
          </w:p>
        </w:tc>
      </w:tr>
      <w:tr w:rsidR="00D85E80" w:rsidRPr="00F17B4A" w:rsidTr="00B03549">
        <w:trPr>
          <w:trHeight w:val="824"/>
        </w:trPr>
        <w:tc>
          <w:tcPr>
            <w:tcW w:w="723"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45363B"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45363B" w:rsidRDefault="00D85E80" w:rsidP="0045363B">
            <w:pPr>
              <w:rPr>
                <w:rFonts w:ascii="Book Antiqua" w:hAnsi="Book Antiqua"/>
              </w:rPr>
            </w:pPr>
            <w:r w:rsidRPr="0045363B">
              <w:rPr>
                <w:rFonts w:ascii="Book Antiqua" w:hAnsi="Book Antiqua"/>
              </w:rPr>
              <w:t xml:space="preserve">2.4.2.  TOR për </w:t>
            </w:r>
            <w:r w:rsidR="0045363B" w:rsidRPr="0045363B">
              <w:rPr>
                <w:rFonts w:ascii="Book Antiqua" w:hAnsi="Book Antiqua"/>
              </w:rPr>
              <w:t>softuerin e ananlizës</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Banka Boterore</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KPSH, QZHMF</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64229" w:rsidP="00BB4474">
            <w:pPr>
              <w:rPr>
                <w:rFonts w:ascii="Book Antiqua" w:hAnsi="Book Antiqua"/>
              </w:rPr>
            </w:pPr>
            <w:r w:rsidRPr="00F17B4A">
              <w:rPr>
                <w:rFonts w:ascii="Book Antiqua" w:hAnsi="Book Antiqua"/>
              </w:rPr>
              <w:t>T</w:t>
            </w:r>
            <w:r w:rsidR="00D85E80" w:rsidRPr="00F17B4A">
              <w:rPr>
                <w:rFonts w:ascii="Book Antiqua" w:hAnsi="Book Antiqua"/>
              </w:rPr>
              <w:t>rajnimi për përdorimin dhe analizën e të dhënave</w:t>
            </w:r>
            <w:r w:rsidRPr="00F17B4A">
              <w:rPr>
                <w:rFonts w:ascii="Book Antiqua" w:hAnsi="Book Antiqua"/>
              </w:rPr>
              <w:t xml:space="preserve"> i realizuar</w:t>
            </w:r>
          </w:p>
        </w:tc>
      </w:tr>
      <w:tr w:rsidR="00D85E80" w:rsidRPr="00F17B4A" w:rsidTr="00B03549">
        <w:trPr>
          <w:trHeight w:val="824"/>
        </w:trPr>
        <w:tc>
          <w:tcPr>
            <w:tcW w:w="723"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91AE9" w:rsidP="00BB4474">
            <w:pPr>
              <w:rPr>
                <w:rFonts w:ascii="Book Antiqua" w:hAnsi="Book Antiqua"/>
              </w:rPr>
            </w:pPr>
            <w:r w:rsidRPr="00F17B4A">
              <w:rPr>
                <w:rFonts w:ascii="Book Antiqua" w:hAnsi="Book Antiqua"/>
              </w:rPr>
              <w:t xml:space="preserve">2.5.  Integrimi i mjekëve të </w:t>
            </w:r>
            <w:r w:rsidR="00D85E80" w:rsidRPr="00F17B4A">
              <w:rPr>
                <w:rFonts w:ascii="Book Antiqua" w:hAnsi="Book Antiqua"/>
              </w:rPr>
              <w:t>mjekësisë familjare në ekipet e reagimit të komunitetit të udhëhequra nga institut</w:t>
            </w:r>
            <w:r w:rsidR="008468C3" w:rsidRPr="00F17B4A">
              <w:rPr>
                <w:rFonts w:ascii="Book Antiqua" w:hAnsi="Book Antiqua"/>
              </w:rPr>
              <w:t>et rajonale të shëndetit publik</w:t>
            </w: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8468C3" w:rsidP="008468C3">
            <w:pPr>
              <w:rPr>
                <w:rFonts w:ascii="Book Antiqua" w:hAnsi="Book Antiqua"/>
              </w:rPr>
            </w:pPr>
            <w:r w:rsidRPr="00F17B4A">
              <w:rPr>
                <w:rFonts w:ascii="Book Antiqua" w:hAnsi="Book Antiqua"/>
              </w:rPr>
              <w:t>2.5.1.  Zhvillimi i planit të</w:t>
            </w:r>
            <w:r w:rsidR="00D85E80" w:rsidRPr="00F17B4A">
              <w:rPr>
                <w:rFonts w:ascii="Book Antiqua" w:hAnsi="Book Antiqua"/>
              </w:rPr>
              <w:t xml:space="preserve"> veprimi</w:t>
            </w:r>
            <w:r w:rsidRPr="00F17B4A">
              <w:rPr>
                <w:rFonts w:ascii="Book Antiqua" w:hAnsi="Book Antiqua"/>
              </w:rPr>
              <w:t>t</w:t>
            </w:r>
            <w:r w:rsidR="00D85E80" w:rsidRPr="00F17B4A">
              <w:rPr>
                <w:rFonts w:ascii="Book Antiqua" w:hAnsi="Book Antiqua"/>
              </w:rPr>
              <w:t xml:space="preserve"> për reagimin e komunitetit</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Plani i veprimit për reagimin e komunitetit është hartuar</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r>
      <w:tr w:rsidR="00D85E80" w:rsidRPr="00F17B4A" w:rsidTr="00B03549">
        <w:trPr>
          <w:trHeight w:val="824"/>
        </w:trPr>
        <w:tc>
          <w:tcPr>
            <w:tcW w:w="723"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8468C3" w:rsidP="00BB4474">
            <w:pPr>
              <w:rPr>
                <w:rFonts w:ascii="Book Antiqua" w:hAnsi="Book Antiqua"/>
              </w:rPr>
            </w:pPr>
            <w:r w:rsidRPr="00F17B4A">
              <w:rPr>
                <w:rFonts w:ascii="Book Antiqua" w:hAnsi="Book Antiqua"/>
              </w:rPr>
              <w:t>2.5.2.  Krijimi i</w:t>
            </w:r>
            <w:r w:rsidR="00D85E80" w:rsidRPr="00F17B4A">
              <w:rPr>
                <w:rFonts w:ascii="Book Antiqua" w:hAnsi="Book Antiqua"/>
              </w:rPr>
              <w:t xml:space="preserve"> ekipe</w:t>
            </w:r>
            <w:r w:rsidRPr="00F17B4A">
              <w:rPr>
                <w:rFonts w:ascii="Book Antiqua" w:hAnsi="Book Antiqua"/>
              </w:rPr>
              <w:t>ve</w:t>
            </w:r>
            <w:r w:rsidR="00D85E80" w:rsidRPr="00F17B4A">
              <w:rPr>
                <w:rFonts w:ascii="Book Antiqua" w:hAnsi="Book Antiqua"/>
              </w:rPr>
              <w:t xml:space="preserve"> të kombinuara të reagimit të komunitetit</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Ekipet e kombinuara të reagimit të komunitetit u krijuan</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r>
      <w:tr w:rsidR="00D85E80" w:rsidRPr="00F17B4A" w:rsidTr="00B03549">
        <w:trPr>
          <w:trHeight w:val="824"/>
        </w:trPr>
        <w:tc>
          <w:tcPr>
            <w:tcW w:w="723"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2.5.3.  Trajnimi i ekipeve të kombinuara të reagimit të komunitetit</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Ekipet e kombinuara të reagimit të komunitetit janë trajnuar</w:t>
            </w:r>
          </w:p>
        </w:tc>
      </w:tr>
      <w:tr w:rsidR="004C0758" w:rsidRPr="00F17B4A" w:rsidTr="00B03549">
        <w:trPr>
          <w:trHeight w:val="824"/>
        </w:trPr>
        <w:tc>
          <w:tcPr>
            <w:tcW w:w="723" w:type="pct"/>
            <w:vMerge w:val="restart"/>
            <w:tcBorders>
              <w:top w:val="single" w:sz="4" w:space="0" w:color="auto"/>
              <w:left w:val="single" w:sz="4" w:space="0" w:color="auto"/>
              <w:right w:val="single" w:sz="4" w:space="0" w:color="auto"/>
            </w:tcBorders>
            <w:shd w:val="clear" w:color="auto" w:fill="C2D69B" w:themeFill="accent3" w:themeFillTint="99"/>
          </w:tcPr>
          <w:p w:rsidR="004C0758" w:rsidRPr="00F17B4A" w:rsidRDefault="004C0758" w:rsidP="00BB4474">
            <w:pPr>
              <w:rPr>
                <w:rFonts w:ascii="Book Antiqua" w:hAnsi="Book Antiqua"/>
              </w:rPr>
            </w:pPr>
            <w:r w:rsidRPr="00F17B4A">
              <w:rPr>
                <w:rFonts w:ascii="Book Antiqua" w:hAnsi="Book Antiqua"/>
              </w:rPr>
              <w:t xml:space="preserve">2.6.  Forcimi i komunikimit ndërmjet Shëndetit Publik dhe mjekëve të Qendrave </w:t>
            </w:r>
            <w:r w:rsidR="0045363B">
              <w:rPr>
                <w:rFonts w:ascii="Book Antiqua" w:hAnsi="Book Antiqua"/>
              </w:rPr>
              <w:t>Kryesore të Mjekësisë Familjare</w:t>
            </w:r>
          </w:p>
        </w:tc>
        <w:tc>
          <w:tcPr>
            <w:tcW w:w="678"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2.6.1.  Shpërndarja e raporteve të shëndetit publik për publikun</w:t>
            </w:r>
          </w:p>
        </w:tc>
        <w:tc>
          <w:tcPr>
            <w:tcW w:w="392" w:type="pct"/>
            <w:tcBorders>
              <w:top w:val="single" w:sz="4" w:space="0" w:color="auto"/>
              <w:left w:val="single" w:sz="4" w:space="0" w:color="auto"/>
              <w:bottom w:val="single" w:sz="4" w:space="0" w:color="auto"/>
              <w:right w:val="single" w:sz="4" w:space="0" w:color="auto"/>
            </w:tcBorders>
          </w:tcPr>
          <w:p w:rsidR="004C0758"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5, 000 €</w:t>
            </w:r>
          </w:p>
        </w:tc>
        <w:tc>
          <w:tcPr>
            <w:tcW w:w="345"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MSH</w:t>
            </w:r>
          </w:p>
          <w:p w:rsidR="004C0758" w:rsidRPr="00F17B4A" w:rsidRDefault="004C0758" w:rsidP="00BB4474">
            <w:pPr>
              <w:rPr>
                <w:rFonts w:ascii="Book Antiqua" w:hAnsi="Book Antiqua"/>
              </w:rPr>
            </w:pPr>
          </w:p>
          <w:p w:rsidR="004C0758" w:rsidRPr="00F17B4A" w:rsidRDefault="004C0758" w:rsidP="00BB4474">
            <w:pPr>
              <w:rPr>
                <w:rFonts w:ascii="Book Antiqua" w:hAnsi="Book Antiqua"/>
              </w:rPr>
            </w:pPr>
            <w:r w:rsidRPr="00F17B4A">
              <w:rPr>
                <w:rFonts w:ascii="Book Antiqua" w:hAnsi="Book Antiqua"/>
              </w:rPr>
              <w:t>Donatoret</w:t>
            </w:r>
          </w:p>
        </w:tc>
        <w:tc>
          <w:tcPr>
            <w:tcW w:w="403"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IKSHPK</w:t>
            </w:r>
          </w:p>
          <w:p w:rsidR="004C0758" w:rsidRPr="00F17B4A" w:rsidRDefault="004C0758" w:rsidP="00BB4474">
            <w:pPr>
              <w:rPr>
                <w:rFonts w:ascii="Book Antiqua" w:hAnsi="Book Antiqua"/>
              </w:rPr>
            </w:pPr>
            <w:r w:rsidRPr="00F17B4A">
              <w:rPr>
                <w:rFonts w:ascii="Book Antiqua" w:hAnsi="Book Antiqua"/>
              </w:rPr>
              <w:t>MSH</w:t>
            </w:r>
          </w:p>
          <w:p w:rsidR="004C0758" w:rsidRPr="00F17B4A" w:rsidRDefault="004C0758" w:rsidP="00BB4474">
            <w:pPr>
              <w:rPr>
                <w:rFonts w:ascii="Book Antiqua" w:hAnsi="Book Antiqua"/>
              </w:rPr>
            </w:pPr>
            <w:r w:rsidRPr="00F17B4A">
              <w:rPr>
                <w:rFonts w:ascii="Book Antiqua" w:hAnsi="Book Antiqua"/>
              </w:rPr>
              <w:t>KPSH</w:t>
            </w:r>
          </w:p>
        </w:tc>
        <w:tc>
          <w:tcPr>
            <w:tcW w:w="517"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MSH</w:t>
            </w:r>
          </w:p>
          <w:p w:rsidR="004C0758" w:rsidRPr="00F17B4A" w:rsidRDefault="004C0758" w:rsidP="00BB4474">
            <w:pPr>
              <w:rPr>
                <w:rFonts w:ascii="Book Antiqua" w:hAnsi="Book Antiqua"/>
              </w:rPr>
            </w:pPr>
          </w:p>
          <w:p w:rsidR="004C0758" w:rsidRPr="00F17B4A" w:rsidRDefault="004C0758" w:rsidP="00BB4474">
            <w:pPr>
              <w:rPr>
                <w:rFonts w:ascii="Book Antiqua" w:hAnsi="Book Antiqua"/>
              </w:rPr>
            </w:pPr>
            <w:r w:rsidRPr="00F17B4A">
              <w:rPr>
                <w:rFonts w:ascii="Book Antiqua" w:hAnsi="Book Antiqua"/>
              </w:rPr>
              <w:t>Donatoret</w:t>
            </w:r>
          </w:p>
          <w:p w:rsidR="004C0758" w:rsidRPr="00F17B4A" w:rsidRDefault="004C0758"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Raportet e shëndetit publik të paraqitura për publikun</w:t>
            </w:r>
          </w:p>
          <w:p w:rsidR="004C0758" w:rsidRPr="00F17B4A" w:rsidRDefault="004C0758" w:rsidP="00BB4474">
            <w:pPr>
              <w:rPr>
                <w:rFonts w:ascii="Book Antiqua" w:hAnsi="Book Antiqua"/>
              </w:rPr>
            </w:pPr>
          </w:p>
        </w:tc>
      </w:tr>
      <w:tr w:rsidR="004C0758" w:rsidRPr="00F17B4A" w:rsidTr="00B03549">
        <w:trPr>
          <w:trHeight w:val="824"/>
        </w:trPr>
        <w:tc>
          <w:tcPr>
            <w:tcW w:w="723" w:type="pct"/>
            <w:vMerge/>
            <w:tcBorders>
              <w:left w:val="single" w:sz="4" w:space="0" w:color="auto"/>
              <w:bottom w:val="single" w:sz="4" w:space="0" w:color="auto"/>
              <w:right w:val="single" w:sz="4" w:space="0" w:color="auto"/>
            </w:tcBorders>
            <w:shd w:val="clear" w:color="auto" w:fill="C2D69B" w:themeFill="accent3" w:themeFillTint="99"/>
          </w:tcPr>
          <w:p w:rsidR="004C0758" w:rsidRPr="00F17B4A" w:rsidRDefault="004C0758"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2.6.2.  Oeganizimi i tryezave të rrumbullakëta me palët e interesuara për të diskutuar gjetjet</w:t>
            </w:r>
          </w:p>
        </w:tc>
        <w:tc>
          <w:tcPr>
            <w:tcW w:w="392" w:type="pct"/>
            <w:tcBorders>
              <w:top w:val="single" w:sz="4" w:space="0" w:color="auto"/>
              <w:left w:val="single" w:sz="4" w:space="0" w:color="auto"/>
              <w:bottom w:val="single" w:sz="4" w:space="0" w:color="auto"/>
              <w:right w:val="single" w:sz="4" w:space="0" w:color="auto"/>
            </w:tcBorders>
          </w:tcPr>
          <w:p w:rsidR="004C0758"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5, 000 €</w:t>
            </w:r>
          </w:p>
        </w:tc>
        <w:tc>
          <w:tcPr>
            <w:tcW w:w="345"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MSH</w:t>
            </w:r>
          </w:p>
          <w:p w:rsidR="004C0758" w:rsidRPr="00F17B4A" w:rsidRDefault="004C0758" w:rsidP="00BB4474">
            <w:pPr>
              <w:rPr>
                <w:rFonts w:ascii="Book Antiqua" w:hAnsi="Book Antiqua"/>
              </w:rPr>
            </w:pPr>
          </w:p>
          <w:p w:rsidR="004C0758" w:rsidRPr="00F17B4A" w:rsidRDefault="004C0758" w:rsidP="00BB4474">
            <w:pPr>
              <w:rPr>
                <w:rFonts w:ascii="Book Antiqua" w:hAnsi="Book Antiqua"/>
              </w:rPr>
            </w:pPr>
            <w:r w:rsidRPr="00F17B4A">
              <w:rPr>
                <w:rFonts w:ascii="Book Antiqua" w:hAnsi="Book Antiqua"/>
              </w:rPr>
              <w:t>Donatoret</w:t>
            </w:r>
          </w:p>
        </w:tc>
        <w:tc>
          <w:tcPr>
            <w:tcW w:w="403"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IKSHPK</w:t>
            </w:r>
          </w:p>
          <w:p w:rsidR="004C0758" w:rsidRPr="00F17B4A" w:rsidRDefault="004C0758" w:rsidP="00BB4474">
            <w:pPr>
              <w:rPr>
                <w:rFonts w:ascii="Book Antiqua" w:hAnsi="Book Antiqua"/>
              </w:rPr>
            </w:pPr>
            <w:r w:rsidRPr="00F17B4A">
              <w:rPr>
                <w:rFonts w:ascii="Book Antiqua" w:hAnsi="Book Antiqua"/>
              </w:rPr>
              <w:t>MSH</w:t>
            </w:r>
          </w:p>
          <w:p w:rsidR="004C0758" w:rsidRPr="00F17B4A" w:rsidRDefault="004C0758" w:rsidP="00BB4474">
            <w:pPr>
              <w:rPr>
                <w:rFonts w:ascii="Book Antiqua" w:hAnsi="Book Antiqua"/>
              </w:rPr>
            </w:pPr>
            <w:r w:rsidRPr="00F17B4A">
              <w:rPr>
                <w:rFonts w:ascii="Book Antiqua" w:hAnsi="Book Antiqua"/>
              </w:rPr>
              <w:t>KPSH</w:t>
            </w:r>
          </w:p>
        </w:tc>
        <w:tc>
          <w:tcPr>
            <w:tcW w:w="517"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MSH</w:t>
            </w:r>
          </w:p>
          <w:p w:rsidR="004C0758" w:rsidRPr="00F17B4A" w:rsidRDefault="004C0758" w:rsidP="00BB4474">
            <w:pPr>
              <w:rPr>
                <w:rFonts w:ascii="Book Antiqua" w:hAnsi="Book Antiqua"/>
              </w:rPr>
            </w:pPr>
          </w:p>
          <w:p w:rsidR="004C0758" w:rsidRPr="00F17B4A" w:rsidRDefault="004C0758" w:rsidP="00BB4474">
            <w:pPr>
              <w:rPr>
                <w:rFonts w:ascii="Book Antiqua" w:hAnsi="Book Antiqua"/>
              </w:rPr>
            </w:pPr>
            <w:r w:rsidRPr="00F17B4A">
              <w:rPr>
                <w:rFonts w:ascii="Book Antiqua" w:hAnsi="Book Antiqua"/>
              </w:rPr>
              <w:t>Donatoret</w:t>
            </w:r>
          </w:p>
          <w:p w:rsidR="004C0758" w:rsidRPr="00F17B4A" w:rsidRDefault="004C0758"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4C0758" w:rsidRPr="00F17B4A" w:rsidRDefault="004C0758" w:rsidP="00BB4474">
            <w:pPr>
              <w:rPr>
                <w:rFonts w:ascii="Book Antiqua" w:hAnsi="Book Antiqua"/>
              </w:rPr>
            </w:pPr>
            <w:r w:rsidRPr="00F17B4A">
              <w:rPr>
                <w:rFonts w:ascii="Book Antiqua" w:hAnsi="Book Antiqua"/>
              </w:rPr>
              <w:t>Tabela e diskutimit të gjetjeve të realizuara</w:t>
            </w:r>
          </w:p>
          <w:p w:rsidR="004C0758" w:rsidRPr="00F17B4A" w:rsidRDefault="004C0758" w:rsidP="00BB4474">
            <w:pPr>
              <w:rPr>
                <w:rFonts w:ascii="Book Antiqua" w:hAnsi="Book Antiqua"/>
              </w:rPr>
            </w:pPr>
          </w:p>
        </w:tc>
      </w:tr>
      <w:tr w:rsidR="00D85E80" w:rsidRPr="00F17B4A" w:rsidTr="00B03549">
        <w:trPr>
          <w:trHeight w:val="2600"/>
        </w:trPr>
        <w:tc>
          <w:tcPr>
            <w:tcW w:w="723" w:type="pct"/>
            <w:vMerge w:val="restart"/>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r w:rsidRPr="00F17B4A">
              <w:rPr>
                <w:rFonts w:ascii="Book Antiqua" w:hAnsi="Book Antiqua"/>
              </w:rPr>
              <w:lastRenderedPageBreak/>
              <w:t xml:space="preserve">2.7.  </w:t>
            </w:r>
            <w:r w:rsidRPr="0045363B">
              <w:rPr>
                <w:rFonts w:ascii="Book Antiqua" w:hAnsi="Book Antiqua"/>
              </w:rPr>
              <w:t xml:space="preserve">Identifikimi dhe prioritizimi i kërkimit të shëndetit publik </w:t>
            </w:r>
            <w:r w:rsidRPr="00F17B4A">
              <w:rPr>
                <w:rFonts w:ascii="Book Antiqua" w:hAnsi="Book Antiqua"/>
              </w:rPr>
              <w:t>për t'u përfshirë në planet kombëtare të kërkimit</w:t>
            </w: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4C0758">
            <w:pPr>
              <w:rPr>
                <w:rFonts w:ascii="Book Antiqua" w:hAnsi="Book Antiqua"/>
              </w:rPr>
            </w:pPr>
            <w:r w:rsidRPr="00F17B4A">
              <w:rPr>
                <w:rFonts w:ascii="Book Antiqua" w:hAnsi="Book Antiqua"/>
              </w:rPr>
              <w:t xml:space="preserve">2.7.1.  Zhvillimi i planit të shpejtë kombëtar të </w:t>
            </w:r>
            <w:r w:rsidR="0045363B">
              <w:rPr>
                <w:rFonts w:ascii="Book Antiqua" w:hAnsi="Book Antiqua"/>
              </w:rPr>
              <w:t>kërkimeve shkencore</w:t>
            </w:r>
            <w:r w:rsidRPr="0045363B">
              <w:rPr>
                <w:rFonts w:ascii="Book Antiqua" w:hAnsi="Book Antiqua"/>
              </w:rPr>
              <w:t xml:space="preserve"> </w:t>
            </w:r>
            <w:r w:rsidR="0045363B">
              <w:rPr>
                <w:rFonts w:ascii="Book Antiqua" w:hAnsi="Book Antiqua"/>
              </w:rPr>
              <w:t xml:space="preserve">në shëndetin </w:t>
            </w:r>
            <w:r w:rsidRPr="00F17B4A">
              <w:rPr>
                <w:rFonts w:ascii="Book Antiqua" w:hAnsi="Book Antiqua"/>
              </w:rPr>
              <w:t>publik</w:t>
            </w: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 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 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r w:rsidRPr="00F17B4A">
              <w:rPr>
                <w:rFonts w:ascii="Book Antiqua" w:hAnsi="Book Antiqua"/>
              </w:rPr>
              <w:t>KPSH</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w:t>
            </w:r>
            <w:r w:rsidR="004C0758" w:rsidRPr="00F17B4A">
              <w:rPr>
                <w:rFonts w:ascii="Book Antiqua" w:hAnsi="Book Antiqua"/>
              </w:rPr>
              <w:t>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45363B" w:rsidP="00BB4474">
            <w:pPr>
              <w:rPr>
                <w:rFonts w:ascii="Book Antiqua" w:hAnsi="Book Antiqua"/>
              </w:rPr>
            </w:pPr>
            <w:r>
              <w:rPr>
                <w:rFonts w:ascii="Book Antiqua" w:hAnsi="Book Antiqua"/>
              </w:rPr>
              <w:t xml:space="preserve">Plani i kërkimeve shkencore </w:t>
            </w:r>
            <w:r w:rsidR="004C0758" w:rsidRPr="00F17B4A">
              <w:rPr>
                <w:rFonts w:ascii="Book Antiqua" w:hAnsi="Book Antiqua"/>
              </w:rPr>
              <w:t>i zhivilluar</w:t>
            </w:r>
          </w:p>
        </w:tc>
      </w:tr>
      <w:tr w:rsidR="00D85E80" w:rsidRPr="00F17B4A" w:rsidTr="00B03549">
        <w:trPr>
          <w:trHeight w:val="3407"/>
        </w:trPr>
        <w:tc>
          <w:tcPr>
            <w:tcW w:w="723" w:type="pct"/>
            <w:vMerge/>
            <w:tcBorders>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67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2.7.2.  Identifikimi i kërkimeve prioritare në fushën e shëndetit publik</w:t>
            </w:r>
          </w:p>
          <w:p w:rsidR="00D85E80" w:rsidRPr="00F17B4A" w:rsidRDefault="00D85E80" w:rsidP="00BB4474">
            <w:pPr>
              <w:rPr>
                <w:rFonts w:ascii="Book Antiqua" w:hAnsi="Book Antiqua"/>
              </w:rPr>
            </w:pPr>
          </w:p>
        </w:tc>
        <w:tc>
          <w:tcPr>
            <w:tcW w:w="392" w:type="pct"/>
            <w:tcBorders>
              <w:top w:val="single" w:sz="4" w:space="0" w:color="auto"/>
              <w:left w:val="single" w:sz="4" w:space="0" w:color="auto"/>
              <w:bottom w:val="single" w:sz="4" w:space="0" w:color="auto"/>
              <w:right w:val="single" w:sz="4" w:space="0" w:color="auto"/>
            </w:tcBorders>
          </w:tcPr>
          <w:p w:rsidR="00D85E80" w:rsidRPr="00F17B4A" w:rsidRDefault="00D8455B" w:rsidP="00BB4474">
            <w:pPr>
              <w:rPr>
                <w:rFonts w:ascii="Book Antiqua" w:hAnsi="Book Antiqua"/>
              </w:rPr>
            </w:pPr>
            <w:r>
              <w:rPr>
                <w:rFonts w:ascii="Book Antiqua" w:hAnsi="Book Antiqua"/>
              </w:rPr>
              <w:t>2023</w:t>
            </w:r>
          </w:p>
        </w:tc>
        <w:tc>
          <w:tcPr>
            <w:tcW w:w="39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20,000 €</w:t>
            </w:r>
          </w:p>
        </w:tc>
        <w:tc>
          <w:tcPr>
            <w:tcW w:w="34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20,000 €</w:t>
            </w:r>
          </w:p>
        </w:tc>
        <w:tc>
          <w:tcPr>
            <w:tcW w:w="36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20,000 €</w:t>
            </w:r>
          </w:p>
        </w:tc>
        <w:tc>
          <w:tcPr>
            <w:tcW w:w="50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tc>
        <w:tc>
          <w:tcPr>
            <w:tcW w:w="40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r w:rsidRPr="00F17B4A">
              <w:rPr>
                <w:rFonts w:ascii="Book Antiqua" w:hAnsi="Book Antiqua"/>
              </w:rPr>
              <w:t>KPSH</w:t>
            </w:r>
          </w:p>
        </w:tc>
        <w:tc>
          <w:tcPr>
            <w:tcW w:w="517"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Donatoret</w:t>
            </w:r>
          </w:p>
        </w:tc>
        <w:tc>
          <w:tcPr>
            <w:tcW w:w="686"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Lista e hulumtimeve prioritare e përgatitur</w:t>
            </w:r>
          </w:p>
        </w:tc>
      </w:tr>
    </w:tbl>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4F1A82" w:rsidRPr="00F17B4A" w:rsidRDefault="00D85E80" w:rsidP="00BB4474">
      <w:pPr>
        <w:rPr>
          <w:rFonts w:ascii="Book Antiqua" w:hAnsi="Book Antiqua"/>
        </w:rPr>
      </w:pPr>
      <w:r w:rsidRPr="00F17B4A">
        <w:rPr>
          <w:rFonts w:ascii="Book Antiqua" w:hAnsi="Book Antiqua"/>
        </w:rPr>
        <w:t>3. MBIKQYRJA</w:t>
      </w:r>
    </w:p>
    <w:p w:rsidR="00D85E80" w:rsidRPr="00F17B4A" w:rsidRDefault="00D85E80" w:rsidP="00BB4474">
      <w:pPr>
        <w:rPr>
          <w:rFonts w:ascii="Book Antiqua" w:hAnsi="Book Antiqua"/>
        </w:rPr>
      </w:pPr>
    </w:p>
    <w:tbl>
      <w:tblPr>
        <w:tblpPr w:leftFromText="180" w:rightFromText="180" w:vertAnchor="text" w:tblpXSpec="center" w:tblpY="1"/>
        <w:tblOverlap w:val="never"/>
        <w:tblW w:w="5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458"/>
        <w:gridCol w:w="1280"/>
        <w:gridCol w:w="1044"/>
        <w:gridCol w:w="918"/>
        <w:gridCol w:w="1249"/>
        <w:gridCol w:w="1313"/>
        <w:gridCol w:w="1519"/>
        <w:gridCol w:w="1191"/>
        <w:gridCol w:w="2400"/>
      </w:tblGrid>
      <w:tr w:rsidR="00C46FF1" w:rsidRPr="00F17B4A" w:rsidTr="004C26B0">
        <w:trPr>
          <w:trHeight w:val="269"/>
        </w:trPr>
        <w:tc>
          <w:tcPr>
            <w:tcW w:w="5000" w:type="pct"/>
            <w:gridSpan w:val="10"/>
            <w:tcBorders>
              <w:top w:val="single" w:sz="4" w:space="0" w:color="auto"/>
              <w:left w:val="single" w:sz="4" w:space="0" w:color="auto"/>
              <w:bottom w:val="single" w:sz="4" w:space="0" w:color="auto"/>
              <w:right w:val="single" w:sz="4" w:space="0" w:color="auto"/>
            </w:tcBorders>
            <w:shd w:val="clear" w:color="auto" w:fill="FBD4B4" w:themeFill="accent6" w:themeFillTint="66"/>
          </w:tcPr>
          <w:p w:rsidR="00C46FF1" w:rsidRPr="00F17B4A" w:rsidRDefault="00C46FF1" w:rsidP="004C26B0">
            <w:pPr>
              <w:tabs>
                <w:tab w:val="left" w:pos="4245"/>
              </w:tabs>
              <w:spacing w:after="0"/>
              <w:jc w:val="center"/>
              <w:rPr>
                <w:rFonts w:ascii="Book Antiqua" w:eastAsia="Calibri" w:hAnsi="Book Antiqua" w:cs="Times New Roman"/>
                <w:b/>
                <w:bCs/>
              </w:rPr>
            </w:pPr>
            <w:r w:rsidRPr="00F17B4A">
              <w:rPr>
                <w:rFonts w:ascii="Book Antiqua" w:eastAsia="Calibri" w:hAnsi="Book Antiqua" w:cs="Times New Roman"/>
                <w:b/>
                <w:bCs/>
              </w:rPr>
              <w:t>OBJEKTIVI STRATEGJIK – FUQIZIMI I SISTEMIT TË MBIKËQYRJES DHE KONTROLLIT TË SËMUNDJEVE NGJITËSE</w:t>
            </w:r>
          </w:p>
          <w:p w:rsidR="00C46FF1" w:rsidRPr="00F17B4A" w:rsidRDefault="00C46FF1" w:rsidP="004C26B0">
            <w:pPr>
              <w:tabs>
                <w:tab w:val="left" w:pos="4245"/>
              </w:tabs>
              <w:spacing w:after="0"/>
              <w:rPr>
                <w:rFonts w:ascii="Book Antiqua" w:eastAsia="Calibri" w:hAnsi="Book Antiqua" w:cs="Times New Roman"/>
                <w:b/>
                <w:bCs/>
              </w:rPr>
            </w:pPr>
          </w:p>
        </w:tc>
      </w:tr>
      <w:tr w:rsidR="00C46FF1" w:rsidRPr="00F17B4A" w:rsidTr="004C26B0">
        <w:trPr>
          <w:trHeight w:val="269"/>
        </w:trPr>
        <w:tc>
          <w:tcPr>
            <w:tcW w:w="1435"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C46FF1" w:rsidRPr="00F17B4A" w:rsidRDefault="00C46FF1" w:rsidP="004C26B0">
            <w:pPr>
              <w:spacing w:after="0"/>
              <w:rPr>
                <w:rFonts w:ascii="Book Antiqua" w:eastAsia="Calibri" w:hAnsi="Book Antiqua" w:cs="Times New Roman"/>
                <w:b/>
                <w:bCs/>
              </w:rPr>
            </w:pPr>
            <w:r w:rsidRPr="00F17B4A">
              <w:rPr>
                <w:rFonts w:ascii="Book Antiqua" w:eastAsia="Calibri" w:hAnsi="Book Antiqua"/>
                <w:b/>
                <w:bCs/>
                <w:sz w:val="20"/>
                <w:szCs w:val="20"/>
              </w:rPr>
              <w:t>Objektivi specifik :</w:t>
            </w:r>
            <w:r w:rsidRPr="00F17B4A">
              <w:rPr>
                <w:rFonts w:ascii="Book Antiqua" w:eastAsia="Calibri" w:hAnsi="Book Antiqua" w:cs="Times New Roman"/>
                <w:b/>
                <w:bCs/>
                <w:sz w:val="24"/>
                <w:szCs w:val="24"/>
              </w:rPr>
              <w:t xml:space="preserve"> Përmirësimi i </w:t>
            </w:r>
            <w:r w:rsidRPr="00F17B4A">
              <w:rPr>
                <w:rFonts w:ascii="Book Antiqua" w:eastAsia="Calibri" w:hAnsi="Book Antiqua" w:cs="Times New Roman"/>
                <w:b/>
                <w:bCs/>
                <w:sz w:val="24"/>
                <w:szCs w:val="24"/>
              </w:rPr>
              <w:lastRenderedPageBreak/>
              <w:t>mbikëqyrjes  së sëmundjeve ngjitëse</w:t>
            </w:r>
            <w:r w:rsidRPr="00F17B4A">
              <w:rPr>
                <w:rFonts w:ascii="Book Antiqua" w:eastAsia="Calibri" w:hAnsi="Book Antiqua" w:cs="Times New Roman"/>
                <w:b/>
                <w:bCs/>
              </w:rPr>
              <w:t xml:space="preserve"> </w:t>
            </w:r>
          </w:p>
        </w:tc>
        <w:tc>
          <w:tcPr>
            <w:tcW w:w="1896" w:type="pct"/>
            <w:gridSpan w:val="5"/>
            <w:tcBorders>
              <w:top w:val="single" w:sz="4" w:space="0" w:color="auto"/>
              <w:left w:val="single" w:sz="4" w:space="0" w:color="auto"/>
              <w:bottom w:val="single" w:sz="4" w:space="0" w:color="auto"/>
              <w:right w:val="single" w:sz="4" w:space="0" w:color="auto"/>
            </w:tcBorders>
            <w:shd w:val="clear" w:color="auto" w:fill="E7E6E6"/>
            <w:vAlign w:val="center"/>
            <w:hideMark/>
          </w:tcPr>
          <w:p w:rsidR="00C46FF1" w:rsidRPr="00F17B4A" w:rsidRDefault="00C46FF1" w:rsidP="004C26B0">
            <w:pPr>
              <w:spacing w:after="0"/>
              <w:rPr>
                <w:rFonts w:ascii="Book Antiqua" w:eastAsia="Calibri" w:hAnsi="Book Antiqua" w:cs="Times New Roman"/>
              </w:rPr>
            </w:pPr>
            <w:r w:rsidRPr="00F17B4A">
              <w:rPr>
                <w:rFonts w:ascii="Book Antiqua" w:eastAsia="Calibri" w:hAnsi="Book Antiqua" w:cs="Times New Roman"/>
                <w:b/>
                <w:bCs/>
              </w:rPr>
              <w:lastRenderedPageBreak/>
              <w:t>Indikatori (-ët) për matjen e arritjes së objektivit</w:t>
            </w:r>
          </w:p>
        </w:tc>
        <w:tc>
          <w:tcPr>
            <w:tcW w:w="496"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C46FF1" w:rsidRPr="00F17B4A" w:rsidRDefault="00C46FF1" w:rsidP="004C26B0">
            <w:pPr>
              <w:spacing w:after="0"/>
              <w:jc w:val="center"/>
              <w:rPr>
                <w:rFonts w:ascii="Book Antiqua" w:eastAsia="Calibri" w:hAnsi="Book Antiqua" w:cs="Times New Roman"/>
                <w:b/>
                <w:bCs/>
              </w:rPr>
            </w:pPr>
            <w:r w:rsidRPr="00F17B4A">
              <w:rPr>
                <w:rFonts w:ascii="Book Antiqua" w:eastAsia="Calibri" w:hAnsi="Book Antiqua" w:cs="Times New Roman"/>
                <w:b/>
                <w:bCs/>
              </w:rPr>
              <w:t>Baza 2021</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C46FF1" w:rsidRPr="00F17B4A" w:rsidRDefault="00C46FF1" w:rsidP="004C26B0">
            <w:pPr>
              <w:spacing w:after="0"/>
              <w:jc w:val="center"/>
              <w:rPr>
                <w:rFonts w:ascii="Book Antiqua" w:eastAsia="Calibri" w:hAnsi="Book Antiqua" w:cs="Times New Roman"/>
                <w:b/>
              </w:rPr>
            </w:pPr>
            <w:r w:rsidRPr="00F17B4A">
              <w:rPr>
                <w:rFonts w:ascii="Book Antiqua" w:eastAsia="Calibri" w:hAnsi="Book Antiqua" w:cs="Times New Roman"/>
                <w:b/>
              </w:rPr>
              <w:t xml:space="preserve">Caku </w:t>
            </w:r>
            <w:r w:rsidR="00D8455B">
              <w:rPr>
                <w:rFonts w:ascii="Book Antiqua" w:eastAsia="Calibri" w:hAnsi="Book Antiqua" w:cs="Times New Roman"/>
                <w:b/>
              </w:rPr>
              <w:t>2023</w:t>
            </w:r>
          </w:p>
        </w:tc>
        <w:tc>
          <w:tcPr>
            <w:tcW w:w="784" w:type="pct"/>
            <w:tcBorders>
              <w:top w:val="single" w:sz="4" w:space="0" w:color="auto"/>
              <w:left w:val="single" w:sz="4" w:space="0" w:color="auto"/>
              <w:bottom w:val="single" w:sz="4" w:space="0" w:color="auto"/>
              <w:right w:val="single" w:sz="4" w:space="0" w:color="auto"/>
            </w:tcBorders>
            <w:shd w:val="clear" w:color="auto" w:fill="E7E6E6"/>
            <w:vAlign w:val="center"/>
          </w:tcPr>
          <w:p w:rsidR="00C46FF1" w:rsidRPr="00F17B4A" w:rsidRDefault="00C46FF1" w:rsidP="004C26B0">
            <w:pPr>
              <w:spacing w:after="0"/>
              <w:jc w:val="center"/>
              <w:rPr>
                <w:rFonts w:ascii="Book Antiqua" w:eastAsia="Calibri" w:hAnsi="Book Antiqua" w:cs="Times New Roman"/>
                <w:b/>
                <w:bCs/>
              </w:rPr>
            </w:pPr>
          </w:p>
          <w:p w:rsidR="00C46FF1" w:rsidRPr="00F17B4A" w:rsidRDefault="00C46FF1" w:rsidP="004C26B0">
            <w:pPr>
              <w:spacing w:after="0"/>
              <w:jc w:val="center"/>
              <w:rPr>
                <w:rFonts w:ascii="Book Antiqua" w:eastAsia="Calibri" w:hAnsi="Book Antiqua" w:cs="Times New Roman"/>
                <w:b/>
                <w:bCs/>
              </w:rPr>
            </w:pPr>
            <w:r w:rsidRPr="00F17B4A">
              <w:rPr>
                <w:rFonts w:ascii="Book Antiqua" w:eastAsia="Calibri" w:hAnsi="Book Antiqua" w:cs="Times New Roman"/>
                <w:b/>
                <w:bCs/>
              </w:rPr>
              <w:t xml:space="preserve">Caku </w:t>
            </w:r>
            <w:r w:rsidR="00D8455B">
              <w:rPr>
                <w:rFonts w:ascii="Book Antiqua" w:eastAsia="Calibri" w:hAnsi="Book Antiqua" w:cs="Times New Roman"/>
                <w:b/>
                <w:bCs/>
              </w:rPr>
              <w:t>2025</w:t>
            </w:r>
          </w:p>
          <w:p w:rsidR="00C46FF1" w:rsidRPr="00F17B4A" w:rsidRDefault="00C46FF1" w:rsidP="004C26B0">
            <w:pPr>
              <w:spacing w:after="0"/>
              <w:jc w:val="center"/>
              <w:rPr>
                <w:rFonts w:ascii="Book Antiqua" w:eastAsia="Calibri" w:hAnsi="Book Antiqua" w:cs="Times New Roman"/>
                <w:b/>
                <w:bCs/>
              </w:rPr>
            </w:pPr>
          </w:p>
        </w:tc>
      </w:tr>
      <w:tr w:rsidR="00C46FF1" w:rsidRPr="00F17B4A" w:rsidTr="00B03549">
        <w:trPr>
          <w:trHeight w:val="719"/>
        </w:trPr>
        <w:tc>
          <w:tcPr>
            <w:tcW w:w="632" w:type="pct"/>
            <w:vMerge w:val="restart"/>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tabs>
                <w:tab w:val="left" w:pos="2820"/>
              </w:tabs>
              <w:spacing w:after="0"/>
              <w:contextualSpacing/>
              <w:rPr>
                <w:rFonts w:ascii="Book Antiqua" w:eastAsia="Calibri" w:hAnsi="Book Antiqua" w:cs="Times New Roman"/>
                <w:b/>
              </w:rPr>
            </w:pPr>
          </w:p>
          <w:p w:rsidR="00C46FF1" w:rsidRPr="00F17B4A" w:rsidRDefault="00C46FF1" w:rsidP="004C26B0">
            <w:pPr>
              <w:tabs>
                <w:tab w:val="left" w:pos="2820"/>
              </w:tabs>
              <w:spacing w:after="0"/>
              <w:contextualSpacing/>
              <w:rPr>
                <w:rFonts w:ascii="Book Antiqua" w:eastAsia="Calibri" w:hAnsi="Book Antiqua" w:cs="Times New Roman"/>
                <w:b/>
              </w:rPr>
            </w:pPr>
            <w:r w:rsidRPr="00F17B4A">
              <w:rPr>
                <w:rFonts w:ascii="Book Antiqua" w:eastAsia="Calibri" w:hAnsi="Book Antiqua" w:cs="Times New Roman"/>
                <w:b/>
              </w:rPr>
              <w:t>Rekomandimi</w:t>
            </w:r>
          </w:p>
          <w:p w:rsidR="00C46FF1" w:rsidRPr="00F17B4A" w:rsidRDefault="00C46FF1" w:rsidP="004C26B0">
            <w:pPr>
              <w:spacing w:after="0"/>
              <w:rPr>
                <w:rFonts w:ascii="Book Antiqua" w:eastAsia="Calibri" w:hAnsi="Book Antiqua" w:cs="Times New Roman"/>
                <w:b/>
              </w:rPr>
            </w:pPr>
            <w:r w:rsidRPr="00F17B4A">
              <w:rPr>
                <w:rFonts w:ascii="Book Antiqua" w:eastAsia="Calibri" w:hAnsi="Book Antiqua" w:cs="Times New Roman"/>
                <w:b/>
              </w:rPr>
              <w:t>ECDC</w:t>
            </w:r>
          </w:p>
        </w:tc>
        <w:tc>
          <w:tcPr>
            <w:tcW w:w="803" w:type="pct"/>
            <w:vMerge w:val="restart"/>
            <w:tcBorders>
              <w:top w:val="single" w:sz="4" w:space="0" w:color="auto"/>
              <w:left w:val="single" w:sz="4" w:space="0" w:color="auto"/>
              <w:right w:val="single" w:sz="4" w:space="0" w:color="auto"/>
            </w:tcBorders>
          </w:tcPr>
          <w:p w:rsidR="00C46FF1" w:rsidRPr="00F17B4A" w:rsidRDefault="00C46FF1" w:rsidP="004C26B0">
            <w:pPr>
              <w:spacing w:after="0"/>
              <w:rPr>
                <w:rFonts w:ascii="Book Antiqua" w:eastAsia="Calibri" w:hAnsi="Book Antiqua" w:cs="Times New Roman"/>
                <w:b/>
              </w:rPr>
            </w:pPr>
          </w:p>
          <w:p w:rsidR="00C46FF1" w:rsidRPr="00F17B4A" w:rsidRDefault="00C46FF1" w:rsidP="004C26B0">
            <w:pPr>
              <w:spacing w:after="0"/>
              <w:rPr>
                <w:rFonts w:ascii="Book Antiqua" w:eastAsia="Calibri" w:hAnsi="Book Antiqua" w:cs="Times New Roman"/>
                <w:b/>
              </w:rPr>
            </w:pPr>
            <w:r w:rsidRPr="00F17B4A">
              <w:rPr>
                <w:rFonts w:ascii="Book Antiqua" w:eastAsia="Calibri" w:hAnsi="Book Antiqua" w:cs="Times New Roman"/>
                <w:b/>
              </w:rPr>
              <w:t>Aktiviteti</w:t>
            </w:r>
          </w:p>
        </w:tc>
        <w:tc>
          <w:tcPr>
            <w:tcW w:w="1896" w:type="pct"/>
            <w:gridSpan w:val="5"/>
            <w:tcBorders>
              <w:top w:val="single" w:sz="4" w:space="0" w:color="auto"/>
              <w:left w:val="single" w:sz="4" w:space="0" w:color="auto"/>
              <w:bottom w:val="single" w:sz="4" w:space="0" w:color="auto"/>
              <w:right w:val="single" w:sz="4" w:space="0" w:color="auto"/>
            </w:tcBorders>
          </w:tcPr>
          <w:p w:rsidR="00C46FF1" w:rsidRPr="00F17B4A" w:rsidRDefault="00C46FF1" w:rsidP="004C26B0">
            <w:pPr>
              <w:tabs>
                <w:tab w:val="left" w:pos="2820"/>
              </w:tabs>
              <w:spacing w:after="0"/>
              <w:contextualSpacing/>
              <w:rPr>
                <w:rFonts w:ascii="Book Antiqua" w:eastAsia="Calibri" w:hAnsi="Book Antiqua" w:cs="Times New Roman"/>
                <w:b/>
              </w:rPr>
            </w:pP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ind w:left="360"/>
              <w:contextualSpacing/>
              <w:rPr>
                <w:rFonts w:ascii="Book Antiqua" w:eastAsia="Calibri" w:hAnsi="Book Antiqua" w:cs="Times New Roman"/>
              </w:rPr>
            </w:pP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ind w:left="360"/>
              <w:contextualSpacing/>
              <w:rPr>
                <w:rFonts w:ascii="Book Antiqua" w:eastAsia="Calibri" w:hAnsi="Book Antiqua" w:cs="Times New Roman"/>
              </w:rPr>
            </w:pP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pStyle w:val="ListParagraph"/>
              <w:spacing w:after="160"/>
              <w:ind w:left="360"/>
              <w:rPr>
                <w:rFonts w:ascii="Book Antiqua" w:hAnsi="Book Antiqua"/>
                <w:sz w:val="22"/>
                <w:szCs w:val="22"/>
              </w:rPr>
            </w:pPr>
          </w:p>
        </w:tc>
      </w:tr>
      <w:tr w:rsidR="00C46FF1" w:rsidRPr="00F17B4A" w:rsidTr="00B03549">
        <w:trPr>
          <w:trHeight w:val="530"/>
        </w:trPr>
        <w:tc>
          <w:tcPr>
            <w:tcW w:w="632" w:type="pct"/>
            <w:vMerge/>
            <w:tcBorders>
              <w:left w:val="single" w:sz="4" w:space="0" w:color="auto"/>
              <w:right w:val="single" w:sz="4" w:space="0" w:color="auto"/>
            </w:tcBorders>
            <w:shd w:val="clear" w:color="auto" w:fill="C2D69B" w:themeFill="accent3" w:themeFillTint="99"/>
            <w:vAlign w:val="center"/>
            <w:hideMark/>
          </w:tcPr>
          <w:p w:rsidR="00C46FF1" w:rsidRPr="00F17B4A" w:rsidRDefault="00C46FF1" w:rsidP="004C26B0">
            <w:pPr>
              <w:spacing w:after="0"/>
              <w:rPr>
                <w:rFonts w:ascii="Book Antiqua" w:eastAsia="Calibri" w:hAnsi="Book Antiqua" w:cs="Times New Roman"/>
                <w:b/>
              </w:rPr>
            </w:pPr>
          </w:p>
        </w:tc>
        <w:tc>
          <w:tcPr>
            <w:tcW w:w="803" w:type="pct"/>
            <w:vMerge/>
            <w:tcBorders>
              <w:left w:val="single" w:sz="4" w:space="0" w:color="auto"/>
              <w:right w:val="single" w:sz="4" w:space="0" w:color="auto"/>
            </w:tcBorders>
          </w:tcPr>
          <w:p w:rsidR="00C46FF1" w:rsidRPr="00F17B4A" w:rsidRDefault="00C46FF1" w:rsidP="004C26B0">
            <w:pPr>
              <w:spacing w:after="0"/>
              <w:rPr>
                <w:rFonts w:ascii="Book Antiqua" w:eastAsia="Calibri" w:hAnsi="Book Antiqua" w:cs="Times New Roman"/>
                <w:b/>
                <w:bCs/>
              </w:rPr>
            </w:pPr>
          </w:p>
        </w:tc>
        <w:tc>
          <w:tcPr>
            <w:tcW w:w="418" w:type="pct"/>
            <w:vMerge w:val="restart"/>
            <w:tcBorders>
              <w:top w:val="nil"/>
              <w:left w:val="single" w:sz="4" w:space="0" w:color="auto"/>
              <w:right w:val="single" w:sz="4" w:space="0" w:color="auto"/>
            </w:tcBorders>
            <w:vAlign w:val="center"/>
            <w:hideMark/>
          </w:tcPr>
          <w:p w:rsidR="00C46FF1" w:rsidRPr="00F17B4A" w:rsidRDefault="00C46FF1" w:rsidP="004C26B0">
            <w:pPr>
              <w:spacing w:after="0"/>
              <w:jc w:val="center"/>
              <w:rPr>
                <w:rFonts w:ascii="Book Antiqua" w:eastAsia="Calibri" w:hAnsi="Book Antiqua" w:cs="Times New Roman"/>
                <w:b/>
                <w:bCs/>
              </w:rPr>
            </w:pPr>
            <w:r w:rsidRPr="00F17B4A">
              <w:rPr>
                <w:rFonts w:ascii="Book Antiqua" w:eastAsia="Calibri" w:hAnsi="Book Antiqua" w:cs="Times New Roman"/>
                <w:b/>
                <w:bCs/>
              </w:rPr>
              <w:t>Afati i zbatimit</w:t>
            </w:r>
          </w:p>
        </w:tc>
        <w:tc>
          <w:tcPr>
            <w:tcW w:w="1049" w:type="pct"/>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C46FF1" w:rsidRPr="00F17B4A" w:rsidRDefault="00C46FF1" w:rsidP="004C26B0">
            <w:pPr>
              <w:spacing w:after="0"/>
              <w:jc w:val="center"/>
              <w:rPr>
                <w:rFonts w:ascii="Book Antiqua" w:eastAsia="Calibri" w:hAnsi="Book Antiqua" w:cs="Times New Roman"/>
              </w:rPr>
            </w:pPr>
            <w:r w:rsidRPr="00F17B4A">
              <w:rPr>
                <w:rFonts w:ascii="Book Antiqua" w:eastAsia="Calibri" w:hAnsi="Book Antiqua" w:cs="Times New Roman"/>
                <w:b/>
                <w:bCs/>
              </w:rPr>
              <w:t>Kostoja totale</w:t>
            </w:r>
          </w:p>
        </w:tc>
        <w:tc>
          <w:tcPr>
            <w:tcW w:w="429" w:type="pct"/>
            <w:vMerge w:val="restart"/>
            <w:tcBorders>
              <w:top w:val="nil"/>
              <w:left w:val="single" w:sz="4" w:space="0" w:color="auto"/>
              <w:right w:val="single" w:sz="4" w:space="0" w:color="auto"/>
            </w:tcBorders>
            <w:vAlign w:val="center"/>
            <w:hideMark/>
          </w:tcPr>
          <w:p w:rsidR="00C46FF1" w:rsidRPr="00F17B4A" w:rsidRDefault="00C46FF1" w:rsidP="004C26B0">
            <w:pPr>
              <w:spacing w:after="0"/>
              <w:jc w:val="center"/>
              <w:rPr>
                <w:rFonts w:ascii="Book Antiqua" w:eastAsia="Calibri" w:hAnsi="Book Antiqua" w:cs="Times New Roman"/>
              </w:rPr>
            </w:pPr>
            <w:r w:rsidRPr="00F17B4A">
              <w:rPr>
                <w:rFonts w:ascii="Book Antiqua" w:eastAsia="Calibri" w:hAnsi="Book Antiqua" w:cs="Times New Roman"/>
                <w:b/>
                <w:bCs/>
              </w:rPr>
              <w:t>Burimi i financimit</w:t>
            </w:r>
          </w:p>
        </w:tc>
        <w:tc>
          <w:tcPr>
            <w:tcW w:w="496" w:type="pct"/>
            <w:vMerge w:val="restart"/>
            <w:tcBorders>
              <w:top w:val="single" w:sz="4" w:space="0" w:color="auto"/>
              <w:left w:val="single" w:sz="4" w:space="0" w:color="auto"/>
              <w:right w:val="single" w:sz="4" w:space="0" w:color="auto"/>
            </w:tcBorders>
            <w:vAlign w:val="center"/>
            <w:hideMark/>
          </w:tcPr>
          <w:p w:rsidR="00C46FF1" w:rsidRPr="00F17B4A" w:rsidRDefault="00C46FF1" w:rsidP="004C26B0">
            <w:pPr>
              <w:spacing w:after="0"/>
              <w:jc w:val="center"/>
              <w:rPr>
                <w:rFonts w:ascii="Book Antiqua" w:eastAsia="Calibri" w:hAnsi="Book Antiqua" w:cs="Times New Roman"/>
                <w:b/>
                <w:bCs/>
              </w:rPr>
            </w:pPr>
            <w:r w:rsidRPr="00F17B4A">
              <w:rPr>
                <w:rFonts w:ascii="Book Antiqua" w:eastAsia="Calibri" w:hAnsi="Book Antiqua" w:cs="Times New Roman"/>
                <w:b/>
                <w:bCs/>
              </w:rPr>
              <w:t>Institucioni</w:t>
            </w:r>
          </w:p>
          <w:p w:rsidR="00C46FF1" w:rsidRPr="00F17B4A" w:rsidRDefault="00C46FF1" w:rsidP="004C26B0">
            <w:pPr>
              <w:spacing w:after="0"/>
              <w:jc w:val="center"/>
              <w:rPr>
                <w:rFonts w:ascii="Book Antiqua" w:eastAsia="Calibri" w:hAnsi="Book Antiqua" w:cs="Times New Roman"/>
              </w:rPr>
            </w:pPr>
            <w:r w:rsidRPr="00F17B4A">
              <w:rPr>
                <w:rFonts w:ascii="Book Antiqua" w:eastAsia="Calibri" w:hAnsi="Book Antiqua" w:cs="Times New Roman"/>
                <w:b/>
                <w:bCs/>
              </w:rPr>
              <w:t>udhëheqës</w:t>
            </w:r>
          </w:p>
        </w:tc>
        <w:tc>
          <w:tcPr>
            <w:tcW w:w="389" w:type="pct"/>
            <w:vMerge w:val="restart"/>
            <w:tcBorders>
              <w:top w:val="single" w:sz="4" w:space="0" w:color="auto"/>
              <w:left w:val="single" w:sz="4" w:space="0" w:color="auto"/>
              <w:right w:val="single" w:sz="4" w:space="0" w:color="auto"/>
            </w:tcBorders>
            <w:vAlign w:val="center"/>
            <w:hideMark/>
          </w:tcPr>
          <w:p w:rsidR="00C46FF1" w:rsidRPr="00F17B4A" w:rsidRDefault="00C46FF1" w:rsidP="004C26B0">
            <w:pPr>
              <w:spacing w:after="0"/>
              <w:jc w:val="center"/>
              <w:rPr>
                <w:rFonts w:ascii="Book Antiqua" w:eastAsia="Calibri" w:hAnsi="Book Antiqua" w:cs="Times New Roman"/>
              </w:rPr>
            </w:pPr>
            <w:r w:rsidRPr="00F17B4A">
              <w:rPr>
                <w:rFonts w:ascii="Book Antiqua" w:eastAsia="Calibri" w:hAnsi="Book Antiqua" w:cs="Times New Roman"/>
                <w:b/>
                <w:bCs/>
              </w:rPr>
              <w:t>Institucioni mbështetës</w:t>
            </w:r>
          </w:p>
        </w:tc>
        <w:tc>
          <w:tcPr>
            <w:tcW w:w="784" w:type="pct"/>
            <w:vMerge w:val="restart"/>
            <w:tcBorders>
              <w:top w:val="single" w:sz="4" w:space="0" w:color="auto"/>
              <w:left w:val="single" w:sz="4" w:space="0" w:color="auto"/>
              <w:right w:val="single" w:sz="4" w:space="0" w:color="auto"/>
            </w:tcBorders>
            <w:hideMark/>
          </w:tcPr>
          <w:p w:rsidR="00C46FF1" w:rsidRPr="00F17B4A" w:rsidRDefault="00C46FF1" w:rsidP="004C26B0">
            <w:pPr>
              <w:spacing w:after="0"/>
              <w:jc w:val="center"/>
              <w:rPr>
                <w:rFonts w:ascii="Book Antiqua" w:eastAsia="Calibri" w:hAnsi="Book Antiqua" w:cs="Times New Roman"/>
                <w:b/>
                <w:bCs/>
              </w:rPr>
            </w:pPr>
          </w:p>
          <w:p w:rsidR="00C46FF1" w:rsidRPr="00F17B4A" w:rsidRDefault="00C46FF1" w:rsidP="004C26B0">
            <w:pPr>
              <w:spacing w:after="0"/>
              <w:jc w:val="center"/>
              <w:rPr>
                <w:rFonts w:ascii="Book Antiqua" w:eastAsia="Calibri" w:hAnsi="Book Antiqua" w:cs="Times New Roman"/>
                <w:b/>
                <w:bCs/>
              </w:rPr>
            </w:pPr>
            <w:r w:rsidRPr="00F17B4A">
              <w:rPr>
                <w:rFonts w:ascii="Book Antiqua" w:eastAsia="Calibri" w:hAnsi="Book Antiqua" w:cs="Times New Roman"/>
                <w:b/>
                <w:bCs/>
              </w:rPr>
              <w:t>Produkti</w:t>
            </w:r>
          </w:p>
        </w:tc>
      </w:tr>
      <w:tr w:rsidR="00C46FF1" w:rsidRPr="00F17B4A" w:rsidTr="00B03549">
        <w:trPr>
          <w:trHeight w:val="503"/>
        </w:trPr>
        <w:tc>
          <w:tcPr>
            <w:tcW w:w="632" w:type="pct"/>
            <w:vMerge/>
            <w:tcBorders>
              <w:left w:val="single" w:sz="4" w:space="0" w:color="auto"/>
              <w:bottom w:val="single" w:sz="4" w:space="0" w:color="auto"/>
              <w:right w:val="single" w:sz="4" w:space="0" w:color="auto"/>
            </w:tcBorders>
            <w:shd w:val="clear" w:color="auto" w:fill="C2D69B" w:themeFill="accent3" w:themeFillTint="99"/>
            <w:vAlign w:val="center"/>
            <w:hideMark/>
          </w:tcPr>
          <w:p w:rsidR="00C46FF1" w:rsidRPr="00F17B4A" w:rsidRDefault="00C46FF1" w:rsidP="004C26B0">
            <w:pPr>
              <w:spacing w:after="0"/>
              <w:rPr>
                <w:rFonts w:ascii="Book Antiqua" w:eastAsia="Calibri" w:hAnsi="Book Antiqua" w:cs="Times New Roman"/>
                <w:b/>
              </w:rPr>
            </w:pPr>
          </w:p>
        </w:tc>
        <w:tc>
          <w:tcPr>
            <w:tcW w:w="803" w:type="pct"/>
            <w:vMerge/>
            <w:tcBorders>
              <w:left w:val="single" w:sz="4" w:space="0" w:color="auto"/>
              <w:bottom w:val="single" w:sz="4" w:space="0" w:color="auto"/>
              <w:right w:val="single" w:sz="4" w:space="0" w:color="auto"/>
            </w:tcBorders>
          </w:tcPr>
          <w:p w:rsidR="00C46FF1" w:rsidRPr="00F17B4A" w:rsidRDefault="00C46FF1" w:rsidP="004C26B0">
            <w:pPr>
              <w:spacing w:after="0"/>
              <w:rPr>
                <w:rFonts w:ascii="Book Antiqua" w:eastAsia="Calibri" w:hAnsi="Book Antiqua" w:cs="Times New Roman"/>
                <w:b/>
                <w:bCs/>
              </w:rPr>
            </w:pPr>
          </w:p>
        </w:tc>
        <w:tc>
          <w:tcPr>
            <w:tcW w:w="418" w:type="pct"/>
            <w:vMerge/>
            <w:tcBorders>
              <w:left w:val="single" w:sz="4" w:space="0" w:color="auto"/>
              <w:bottom w:val="single" w:sz="4" w:space="0" w:color="auto"/>
              <w:right w:val="single" w:sz="4" w:space="0" w:color="auto"/>
            </w:tcBorders>
            <w:vAlign w:val="center"/>
            <w:hideMark/>
          </w:tcPr>
          <w:p w:rsidR="00C46FF1" w:rsidRPr="00F17B4A" w:rsidRDefault="00C46FF1" w:rsidP="004C26B0">
            <w:pPr>
              <w:spacing w:after="0"/>
              <w:rPr>
                <w:rFonts w:ascii="Book Antiqua" w:eastAsia="Calibri" w:hAnsi="Book Antiqua" w:cs="Times New Roman"/>
                <w:b/>
                <w:bCs/>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46FF1" w:rsidRPr="00F17B4A" w:rsidRDefault="00C46FF1" w:rsidP="004C26B0">
            <w:pPr>
              <w:spacing w:after="0"/>
              <w:jc w:val="center"/>
              <w:rPr>
                <w:rFonts w:ascii="Book Antiqua" w:eastAsia="Calibri" w:hAnsi="Book Antiqua" w:cs="Times New Roman"/>
                <w:b/>
                <w:bCs/>
              </w:rPr>
            </w:pPr>
            <w:r w:rsidRPr="00F17B4A">
              <w:rPr>
                <w:rFonts w:ascii="Book Antiqua" w:eastAsia="Calibri" w:hAnsi="Book Antiqua" w:cs="Times New Roman"/>
                <w:b/>
                <w:bCs/>
              </w:rPr>
              <w:t>Viti</w:t>
            </w:r>
          </w:p>
          <w:p w:rsidR="00C46FF1" w:rsidRPr="00F17B4A" w:rsidRDefault="00D8455B" w:rsidP="004C26B0">
            <w:pPr>
              <w:spacing w:after="0"/>
              <w:jc w:val="center"/>
              <w:rPr>
                <w:rFonts w:ascii="Book Antiqua" w:eastAsia="Calibri" w:hAnsi="Book Antiqua" w:cs="Times New Roman"/>
                <w:b/>
                <w:bCs/>
              </w:rPr>
            </w:pPr>
            <w:r>
              <w:rPr>
                <w:rFonts w:ascii="Book Antiqua" w:eastAsia="Calibri" w:hAnsi="Book Antiqua" w:cs="Times New Roman"/>
                <w:b/>
                <w:bCs/>
              </w:rPr>
              <w:t>2023</w:t>
            </w:r>
          </w:p>
        </w:tc>
        <w:tc>
          <w:tcPr>
            <w:tcW w:w="3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46FF1" w:rsidRPr="00F17B4A" w:rsidRDefault="00C46FF1" w:rsidP="004C26B0">
            <w:pPr>
              <w:spacing w:after="0"/>
              <w:jc w:val="center"/>
              <w:rPr>
                <w:rFonts w:ascii="Book Antiqua" w:eastAsia="Calibri" w:hAnsi="Book Antiqua" w:cs="Times New Roman"/>
                <w:b/>
                <w:bCs/>
              </w:rPr>
            </w:pPr>
            <w:r w:rsidRPr="00F17B4A">
              <w:rPr>
                <w:rFonts w:ascii="Book Antiqua" w:eastAsia="Calibri" w:hAnsi="Book Antiqua" w:cs="Times New Roman"/>
                <w:b/>
                <w:bCs/>
              </w:rPr>
              <w:t xml:space="preserve">Viti </w:t>
            </w:r>
            <w:r w:rsidR="00D8455B">
              <w:rPr>
                <w:rFonts w:ascii="Book Antiqua" w:eastAsia="Calibri" w:hAnsi="Book Antiqua" w:cs="Times New Roman"/>
                <w:b/>
                <w:bCs/>
              </w:rPr>
              <w:t>2024</w:t>
            </w:r>
          </w:p>
        </w:tc>
        <w:tc>
          <w:tcPr>
            <w:tcW w:w="4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46FF1" w:rsidRPr="00F17B4A" w:rsidRDefault="00C46FF1" w:rsidP="004C26B0">
            <w:pPr>
              <w:spacing w:after="0"/>
              <w:jc w:val="center"/>
              <w:rPr>
                <w:rFonts w:ascii="Book Antiqua" w:eastAsia="Calibri" w:hAnsi="Book Antiqua" w:cs="Times New Roman"/>
                <w:b/>
                <w:bCs/>
              </w:rPr>
            </w:pPr>
            <w:r w:rsidRPr="00F17B4A">
              <w:rPr>
                <w:rFonts w:ascii="Book Antiqua" w:eastAsia="Calibri" w:hAnsi="Book Antiqua" w:cs="Times New Roman"/>
                <w:b/>
                <w:bCs/>
              </w:rPr>
              <w:t>Viti</w:t>
            </w:r>
          </w:p>
          <w:p w:rsidR="00C46FF1" w:rsidRPr="00F17B4A" w:rsidRDefault="00D8455B" w:rsidP="004C26B0">
            <w:pPr>
              <w:spacing w:after="0"/>
              <w:jc w:val="center"/>
              <w:rPr>
                <w:rFonts w:ascii="Book Antiqua" w:eastAsia="Calibri" w:hAnsi="Book Antiqua" w:cs="Times New Roman"/>
                <w:b/>
                <w:bCs/>
              </w:rPr>
            </w:pPr>
            <w:r>
              <w:rPr>
                <w:rFonts w:ascii="Book Antiqua" w:eastAsia="Calibri" w:hAnsi="Book Antiqua" w:cs="Times New Roman"/>
                <w:b/>
                <w:bCs/>
              </w:rPr>
              <w:t>2025</w:t>
            </w:r>
          </w:p>
        </w:tc>
        <w:tc>
          <w:tcPr>
            <w:tcW w:w="429" w:type="pct"/>
            <w:vMerge/>
            <w:tcBorders>
              <w:left w:val="single" w:sz="4" w:space="0" w:color="auto"/>
              <w:bottom w:val="single" w:sz="4" w:space="0" w:color="auto"/>
              <w:right w:val="single" w:sz="4" w:space="0" w:color="auto"/>
            </w:tcBorders>
            <w:vAlign w:val="center"/>
            <w:hideMark/>
          </w:tcPr>
          <w:p w:rsidR="00C46FF1" w:rsidRPr="00F17B4A" w:rsidRDefault="00C46FF1" w:rsidP="004C26B0">
            <w:pPr>
              <w:spacing w:after="0"/>
              <w:rPr>
                <w:rFonts w:ascii="Book Antiqua" w:eastAsia="Calibri" w:hAnsi="Book Antiqua" w:cs="Times New Roman"/>
              </w:rPr>
            </w:pPr>
          </w:p>
        </w:tc>
        <w:tc>
          <w:tcPr>
            <w:tcW w:w="496" w:type="pct"/>
            <w:vMerge/>
            <w:tcBorders>
              <w:left w:val="single" w:sz="4" w:space="0" w:color="auto"/>
              <w:bottom w:val="single" w:sz="4" w:space="0" w:color="auto"/>
              <w:right w:val="single" w:sz="4" w:space="0" w:color="auto"/>
            </w:tcBorders>
            <w:vAlign w:val="center"/>
            <w:hideMark/>
          </w:tcPr>
          <w:p w:rsidR="00C46FF1" w:rsidRPr="00F17B4A" w:rsidRDefault="00C46FF1" w:rsidP="004C26B0">
            <w:pPr>
              <w:spacing w:after="0"/>
              <w:rPr>
                <w:rFonts w:ascii="Book Antiqua" w:eastAsia="Calibri" w:hAnsi="Book Antiqua" w:cs="Times New Roman"/>
              </w:rPr>
            </w:pPr>
          </w:p>
        </w:tc>
        <w:tc>
          <w:tcPr>
            <w:tcW w:w="389" w:type="pct"/>
            <w:vMerge/>
            <w:tcBorders>
              <w:left w:val="single" w:sz="4" w:space="0" w:color="auto"/>
              <w:bottom w:val="single" w:sz="4" w:space="0" w:color="auto"/>
              <w:right w:val="single" w:sz="4" w:space="0" w:color="auto"/>
            </w:tcBorders>
            <w:vAlign w:val="center"/>
            <w:hideMark/>
          </w:tcPr>
          <w:p w:rsidR="00C46FF1" w:rsidRPr="00F17B4A" w:rsidRDefault="00C46FF1" w:rsidP="004C26B0">
            <w:pPr>
              <w:spacing w:after="0"/>
              <w:rPr>
                <w:rFonts w:ascii="Book Antiqua" w:eastAsia="Calibri" w:hAnsi="Book Antiqua" w:cs="Times New Roman"/>
              </w:rPr>
            </w:pPr>
          </w:p>
        </w:tc>
        <w:tc>
          <w:tcPr>
            <w:tcW w:w="784" w:type="pct"/>
            <w:vMerge/>
            <w:tcBorders>
              <w:left w:val="single" w:sz="4" w:space="0" w:color="auto"/>
              <w:bottom w:val="single" w:sz="4" w:space="0" w:color="auto"/>
              <w:right w:val="single" w:sz="4" w:space="0" w:color="auto"/>
            </w:tcBorders>
            <w:vAlign w:val="center"/>
            <w:hideMark/>
          </w:tcPr>
          <w:p w:rsidR="00C46FF1" w:rsidRPr="00F17B4A" w:rsidRDefault="00C46FF1" w:rsidP="004C26B0">
            <w:pPr>
              <w:spacing w:after="0"/>
              <w:rPr>
                <w:rFonts w:ascii="Book Antiqua" w:eastAsia="Calibri" w:hAnsi="Book Antiqua" w:cs="Times New Roman"/>
                <w:b/>
                <w:bCs/>
              </w:rPr>
            </w:pPr>
          </w:p>
        </w:tc>
      </w:tr>
      <w:tr w:rsidR="00C46FF1" w:rsidRPr="00F17B4A" w:rsidTr="00B03549">
        <w:trPr>
          <w:trHeight w:val="1520"/>
        </w:trPr>
        <w:tc>
          <w:tcPr>
            <w:tcW w:w="632" w:type="pct"/>
            <w:vMerge w:val="restart"/>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spacing w:after="0" w:line="240" w:lineRule="auto"/>
              <w:rPr>
                <w:rFonts w:ascii="Book Antiqua" w:hAnsi="Book Antiqua" w:cs="Times New Roman"/>
                <w:b/>
                <w:bCs/>
              </w:rPr>
            </w:pPr>
            <w:r w:rsidRPr="00F17B4A">
              <w:rPr>
                <w:rFonts w:ascii="Book Antiqua" w:hAnsi="Book Antiqua" w:cs="Times New Roman"/>
                <w:b/>
                <w:bCs/>
              </w:rPr>
              <w:t xml:space="preserve">3.1.1. </w:t>
            </w:r>
            <w:r w:rsidRPr="00F17B4A">
              <w:rPr>
                <w:rFonts w:ascii="Book Antiqua" w:hAnsi="Book Antiqua" w:cs="Times New Roman"/>
                <w:b/>
                <w:bCs/>
                <w:sz w:val="24"/>
                <w:szCs w:val="24"/>
              </w:rPr>
              <w:t xml:space="preserve"> </w:t>
            </w:r>
            <w:r w:rsidRPr="00F17B4A">
              <w:rPr>
                <w:rFonts w:ascii="Book Antiqua" w:hAnsi="Book Antiqua" w:cs="Times New Roman"/>
                <w:b/>
                <w:bCs/>
              </w:rPr>
              <w:t>Realizimi i një vlerësimi të sistemit të mbikëqyrjes</w:t>
            </w:r>
          </w:p>
          <w:p w:rsidR="00C46FF1" w:rsidRPr="00F17B4A" w:rsidRDefault="00C46FF1" w:rsidP="004C26B0">
            <w:pPr>
              <w:spacing w:after="0" w:line="240" w:lineRule="auto"/>
              <w:rPr>
                <w:rFonts w:ascii="Book Antiqua" w:hAnsi="Book Antiqua" w:cs="Times New Roman"/>
                <w:b/>
                <w:bCs/>
              </w:rPr>
            </w:pPr>
          </w:p>
          <w:p w:rsidR="00C46FF1" w:rsidRPr="00F17B4A" w:rsidRDefault="00C46FF1" w:rsidP="004C26B0">
            <w:pPr>
              <w:rPr>
                <w:rFonts w:ascii="Book Antiqua" w:hAnsi="Book Antiqua" w:cs="Times New Roman"/>
                <w:b/>
                <w:bCs/>
              </w:rPr>
            </w:pPr>
          </w:p>
        </w:tc>
        <w:tc>
          <w:tcPr>
            <w:tcW w:w="803" w:type="pct"/>
            <w:tcBorders>
              <w:top w:val="single" w:sz="4" w:space="0" w:color="auto"/>
              <w:left w:val="single" w:sz="4" w:space="0" w:color="auto"/>
              <w:bottom w:val="single" w:sz="4" w:space="0" w:color="auto"/>
              <w:right w:val="single" w:sz="4" w:space="0" w:color="auto"/>
            </w:tcBorders>
          </w:tcPr>
          <w:p w:rsidR="00C46FF1" w:rsidRPr="005D279B" w:rsidRDefault="00C46FF1" w:rsidP="004C26B0">
            <w:pPr>
              <w:contextualSpacing/>
              <w:rPr>
                <w:rFonts w:ascii="Book Antiqua" w:hAnsi="Book Antiqua" w:cs="Times New Roman"/>
              </w:rPr>
            </w:pPr>
            <w:r w:rsidRPr="005D279B">
              <w:rPr>
                <w:rFonts w:ascii="Book Antiqua" w:eastAsia="Calibri" w:hAnsi="Book Antiqua" w:cs="Times New Roman"/>
              </w:rPr>
              <w:t>Vlerësimi i sistemit të mbikëqyrjes së sëmundjeve ngjitëse</w:t>
            </w:r>
          </w:p>
          <w:p w:rsidR="00C46FF1" w:rsidRPr="00746FC7" w:rsidRDefault="00C46FF1" w:rsidP="004C26B0">
            <w:pPr>
              <w:contextualSpacing/>
              <w:rPr>
                <w:rFonts w:ascii="Book Antiqua" w:hAnsi="Book Antiqua" w:cs="Times New Roman"/>
                <w:highlight w:val="yellow"/>
              </w:rPr>
            </w:pPr>
          </w:p>
          <w:p w:rsidR="00C46FF1" w:rsidRPr="00746FC7" w:rsidRDefault="00C46FF1" w:rsidP="004C26B0">
            <w:pPr>
              <w:contextualSpacing/>
              <w:rPr>
                <w:rFonts w:ascii="Book Antiqua" w:hAnsi="Book Antiqua" w:cs="Times New Roman"/>
                <w:highlight w:val="yellow"/>
              </w:rPr>
            </w:pPr>
          </w:p>
          <w:p w:rsidR="00C46FF1" w:rsidRPr="00746FC7" w:rsidRDefault="00C46FF1" w:rsidP="004C26B0">
            <w:pPr>
              <w:spacing w:after="0"/>
              <w:rPr>
                <w:rFonts w:ascii="Book Antiqua" w:eastAsia="Calibri" w:hAnsi="Book Antiqua" w:cs="Times New Roman"/>
                <w:highlight w:val="yellow"/>
              </w:rPr>
            </w:pPr>
          </w:p>
        </w:tc>
        <w:tc>
          <w:tcPr>
            <w:tcW w:w="418" w:type="pct"/>
            <w:tcBorders>
              <w:top w:val="single" w:sz="4" w:space="0" w:color="auto"/>
              <w:left w:val="single" w:sz="4" w:space="0" w:color="auto"/>
              <w:bottom w:val="single" w:sz="4" w:space="0" w:color="auto"/>
              <w:right w:val="single" w:sz="4" w:space="0" w:color="auto"/>
            </w:tcBorders>
          </w:tcPr>
          <w:p w:rsidR="00C46FF1" w:rsidRPr="00746FC7" w:rsidRDefault="00C46FF1" w:rsidP="004C26B0">
            <w:pPr>
              <w:spacing w:after="0"/>
              <w:jc w:val="center"/>
              <w:rPr>
                <w:rFonts w:ascii="Book Antiqua" w:eastAsia="Calibri" w:hAnsi="Book Antiqua" w:cs="Times New Roman"/>
                <w:highlight w:val="yellow"/>
              </w:rPr>
            </w:pPr>
            <w:r w:rsidRPr="00746FC7">
              <w:rPr>
                <w:rFonts w:ascii="Book Antiqua" w:eastAsia="Calibri" w:hAnsi="Book Antiqua" w:cs="Times New Roman"/>
                <w:highlight w:val="yellow"/>
              </w:rPr>
              <w:t xml:space="preserve"> </w:t>
            </w:r>
            <w:r w:rsidRPr="005D279B">
              <w:rPr>
                <w:rFonts w:ascii="Book Antiqua" w:eastAsia="Calibri" w:hAnsi="Book Antiqua" w:cs="Times New Roman"/>
              </w:rPr>
              <w:t>Q</w:t>
            </w:r>
            <w:r w:rsidR="00041227">
              <w:rPr>
                <w:rFonts w:ascii="Book Antiqua" w:eastAsia="Calibri" w:hAnsi="Book Antiqua" w:cs="Times New Roman"/>
              </w:rPr>
              <w:t>3</w:t>
            </w:r>
            <w:r w:rsidRPr="005D279B">
              <w:rPr>
                <w:rFonts w:ascii="Book Antiqua" w:eastAsia="Calibri" w:hAnsi="Book Antiqua" w:cs="Times New Roman"/>
              </w:rPr>
              <w:t xml:space="preserve"> </w:t>
            </w:r>
            <w:r w:rsidR="00D8455B">
              <w:rPr>
                <w:rFonts w:ascii="Book Antiqua" w:eastAsia="Calibri" w:hAnsi="Book Antiqua" w:cs="Times New Roman"/>
              </w:rPr>
              <w:t>2023</w:t>
            </w:r>
          </w:p>
          <w:p w:rsidR="00C46FF1" w:rsidRPr="00746FC7" w:rsidRDefault="00C46FF1" w:rsidP="004C26B0">
            <w:pPr>
              <w:jc w:val="center"/>
              <w:rPr>
                <w:rFonts w:ascii="Book Antiqua" w:eastAsia="Calibri" w:hAnsi="Book Antiqua" w:cs="Times New Roman"/>
                <w:highlight w:val="yellow"/>
              </w:rPr>
            </w:pPr>
          </w:p>
          <w:p w:rsidR="00C46FF1" w:rsidRPr="00746FC7" w:rsidRDefault="00C46FF1" w:rsidP="004C26B0">
            <w:pPr>
              <w:jc w:val="center"/>
              <w:rPr>
                <w:rFonts w:ascii="Book Antiqua" w:eastAsia="Calibri" w:hAnsi="Book Antiqua" w:cs="Times New Roman"/>
                <w:highlight w:val="yellow"/>
              </w:rPr>
            </w:pPr>
          </w:p>
          <w:p w:rsidR="00C46FF1" w:rsidRPr="00746FC7" w:rsidRDefault="00C46FF1" w:rsidP="004C26B0">
            <w:pPr>
              <w:jc w:val="center"/>
              <w:rPr>
                <w:rFonts w:ascii="Book Antiqua" w:eastAsia="Calibri" w:hAnsi="Book Antiqua" w:cs="Times New Roman"/>
                <w:highlight w:val="yellow"/>
              </w:rPr>
            </w:pPr>
          </w:p>
          <w:p w:rsidR="00C46FF1" w:rsidRPr="00746FC7" w:rsidRDefault="00C46FF1" w:rsidP="004C26B0">
            <w:pPr>
              <w:ind w:right="-294"/>
              <w:jc w:val="center"/>
              <w:rPr>
                <w:rFonts w:ascii="Book Antiqua" w:eastAsia="Calibri" w:hAnsi="Book Antiqua" w:cs="Times New Roman"/>
                <w:highlight w:val="yellow"/>
              </w:rPr>
            </w:pP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15000</w:t>
            </w:r>
          </w:p>
          <w:p w:rsidR="00C46FF1" w:rsidRPr="00F17B4A" w:rsidRDefault="00C46FF1" w:rsidP="004C26B0">
            <w:pPr>
              <w:jc w:val="center"/>
              <w:rPr>
                <w:rFonts w:ascii="Book Antiqua" w:hAnsi="Book Antiqua" w:cs="Times New Roman"/>
              </w:rPr>
            </w:pPr>
          </w:p>
          <w:p w:rsidR="00C46FF1" w:rsidRPr="00F17B4A" w:rsidRDefault="00C46FF1" w:rsidP="004C26B0">
            <w:pPr>
              <w:jc w:val="center"/>
              <w:rPr>
                <w:rFonts w:ascii="Book Antiqua" w:hAnsi="Book Antiqua" w:cs="Times New Roman"/>
              </w:rPr>
            </w:pPr>
          </w:p>
          <w:p w:rsidR="00C46FF1" w:rsidRPr="00F17B4A" w:rsidRDefault="00C46FF1" w:rsidP="004C26B0">
            <w:pPr>
              <w:jc w:val="center"/>
              <w:rPr>
                <w:rFonts w:ascii="Book Antiqua" w:hAnsi="Book Antiqua" w:cs="Times New Roman"/>
              </w:rPr>
            </w:pPr>
          </w:p>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 IKSHPK</w:t>
            </w:r>
          </w:p>
          <w:p w:rsidR="00C46FF1" w:rsidRPr="00F17B4A" w:rsidRDefault="00C46FF1" w:rsidP="004C26B0">
            <w:pPr>
              <w:jc w:val="center"/>
              <w:rPr>
                <w:rFonts w:ascii="Book Antiqua" w:hAnsi="Book Antiqua" w:cs="Times New Roman"/>
              </w:rPr>
            </w:pPr>
          </w:p>
          <w:p w:rsidR="00C46FF1" w:rsidRPr="00F17B4A" w:rsidRDefault="00C46FF1" w:rsidP="004C26B0">
            <w:pPr>
              <w:jc w:val="center"/>
              <w:rPr>
                <w:rFonts w:ascii="Book Antiqua" w:hAnsi="Book Antiqua" w:cs="Times New Roman"/>
              </w:rPr>
            </w:pPr>
          </w:p>
          <w:p w:rsidR="00C46FF1" w:rsidRPr="00F17B4A" w:rsidRDefault="00C46FF1" w:rsidP="004C26B0">
            <w:pPr>
              <w:jc w:val="center"/>
              <w:rPr>
                <w:rFonts w:ascii="Book Antiqua" w:hAnsi="Book Antiqua" w:cs="Times New Roman"/>
              </w:rPr>
            </w:pPr>
          </w:p>
          <w:p w:rsidR="00C46FF1" w:rsidRPr="00F17B4A" w:rsidRDefault="00C46FF1" w:rsidP="004C26B0">
            <w:pPr>
              <w:jc w:val="center"/>
              <w:rPr>
                <w:rFonts w:ascii="Book Antiqua" w:hAnsi="Book Antiqua" w:cs="Times New Roman"/>
              </w:rPr>
            </w:pP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p w:rsidR="00C46FF1" w:rsidRPr="00F17B4A" w:rsidRDefault="00C46FF1" w:rsidP="004C26B0">
            <w:pPr>
              <w:jc w:val="center"/>
              <w:rPr>
                <w:rFonts w:ascii="Book Antiqua" w:hAnsi="Book Antiqua" w:cs="Times New Roman"/>
              </w:rPr>
            </w:pPr>
            <w:r w:rsidRPr="00F17B4A">
              <w:rPr>
                <w:rFonts w:ascii="Book Antiqua" w:hAnsi="Book Antiqua" w:cs="Times New Roman"/>
              </w:rPr>
              <w:t xml:space="preserve">Institucionet tjera </w:t>
            </w:r>
          </w:p>
          <w:p w:rsidR="00C46FF1" w:rsidRPr="00F17B4A" w:rsidRDefault="00C46FF1" w:rsidP="004C26B0">
            <w:pPr>
              <w:jc w:val="center"/>
              <w:rPr>
                <w:rFonts w:ascii="Book Antiqua" w:hAnsi="Book Antiqua" w:cs="Times New Roman"/>
              </w:rPr>
            </w:pPr>
          </w:p>
          <w:p w:rsidR="00C46FF1" w:rsidRPr="00F17B4A" w:rsidRDefault="00C46FF1" w:rsidP="004C26B0">
            <w:pPr>
              <w:jc w:val="center"/>
              <w:rPr>
                <w:rFonts w:ascii="Book Antiqua" w:hAnsi="Book Antiqua" w:cs="Times New Roman"/>
              </w:rPr>
            </w:pPr>
          </w:p>
          <w:p w:rsidR="00C46FF1" w:rsidRPr="00F17B4A" w:rsidRDefault="00C46FF1" w:rsidP="004C26B0">
            <w:pPr>
              <w:jc w:val="center"/>
              <w:rPr>
                <w:rFonts w:ascii="Book Antiqua" w:hAnsi="Book Antiqua" w:cs="Times New Roman"/>
              </w:rPr>
            </w:pP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hAnsi="Book Antiqua" w:cs="Times New Roman"/>
              </w:rPr>
            </w:pPr>
            <w:r w:rsidRPr="00F17B4A">
              <w:rPr>
                <w:rFonts w:ascii="Book Antiqua" w:hAnsi="Book Antiqua" w:cs="Times New Roman"/>
              </w:rPr>
              <w:t xml:space="preserve">Raporti i vlerësimit i </w:t>
            </w:r>
            <w:r w:rsidRPr="00F17B4A">
              <w:rPr>
                <w:rFonts w:ascii="Book Antiqua" w:eastAsia="Calibri" w:hAnsi="Book Antiqua" w:cs="Times New Roman"/>
              </w:rPr>
              <w:t xml:space="preserve"> sistemit të mbikëqyrjes së sëmundjeve ngjitëse</w:t>
            </w:r>
          </w:p>
          <w:p w:rsidR="00C46FF1" w:rsidRPr="00F17B4A" w:rsidRDefault="00C46FF1" w:rsidP="004C26B0">
            <w:pPr>
              <w:rPr>
                <w:rFonts w:ascii="Book Antiqua" w:hAnsi="Book Antiqua" w:cs="Times New Roman"/>
              </w:rPr>
            </w:pPr>
          </w:p>
        </w:tc>
      </w:tr>
      <w:tr w:rsidR="00C46FF1" w:rsidRPr="00F17B4A" w:rsidTr="00B03549">
        <w:trPr>
          <w:trHeight w:val="1520"/>
        </w:trPr>
        <w:tc>
          <w:tcPr>
            <w:tcW w:w="632" w:type="pct"/>
            <w:vMerge/>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spacing w:after="0" w:line="240" w:lineRule="auto"/>
              <w:rPr>
                <w:rFonts w:ascii="Book Antiqua" w:hAnsi="Book Antiqua" w:cs="Times New Roman"/>
              </w:rPr>
            </w:pPr>
          </w:p>
        </w:tc>
        <w:tc>
          <w:tcPr>
            <w:tcW w:w="803" w:type="pct"/>
            <w:tcBorders>
              <w:top w:val="single" w:sz="4" w:space="0" w:color="auto"/>
              <w:left w:val="single" w:sz="4" w:space="0" w:color="auto"/>
              <w:bottom w:val="single" w:sz="4" w:space="0" w:color="auto"/>
              <w:right w:val="single" w:sz="4" w:space="0" w:color="auto"/>
            </w:tcBorders>
          </w:tcPr>
          <w:p w:rsidR="00C46FF1" w:rsidRPr="00746FC7" w:rsidRDefault="00C46FF1" w:rsidP="004C26B0">
            <w:pPr>
              <w:contextualSpacing/>
              <w:rPr>
                <w:rFonts w:ascii="Book Antiqua" w:eastAsia="Calibri" w:hAnsi="Book Antiqua" w:cs="Times New Roman"/>
                <w:highlight w:val="yellow"/>
              </w:rPr>
            </w:pPr>
            <w:r w:rsidRPr="005D279B">
              <w:rPr>
                <w:rFonts w:ascii="Book Antiqua" w:eastAsia="Calibri" w:hAnsi="Book Antiqua" w:cs="Times New Roman"/>
              </w:rPr>
              <w:t xml:space="preserve">Formimi i grupit punues </w:t>
            </w:r>
            <w:r w:rsidRPr="005D279B">
              <w:rPr>
                <w:rFonts w:ascii="Book Antiqua" w:hAnsi="Book Antiqua" w:cs="Times New Roman"/>
              </w:rPr>
              <w:t>për përcaktimin e nevojave të sistemit të mbikëqyrjes së sëmundjeve ngjitëse</w:t>
            </w:r>
            <w:r w:rsidRPr="005D279B">
              <w:rPr>
                <w:rFonts w:ascii="Book Antiqua" w:eastAsia="Calibri" w:hAnsi="Book Antiqua" w:cs="Times New Roman"/>
              </w:rPr>
              <w:t xml:space="preserve"> </w:t>
            </w:r>
          </w:p>
        </w:tc>
        <w:tc>
          <w:tcPr>
            <w:tcW w:w="418" w:type="pct"/>
            <w:tcBorders>
              <w:top w:val="single" w:sz="4" w:space="0" w:color="auto"/>
              <w:left w:val="single" w:sz="4" w:space="0" w:color="auto"/>
              <w:bottom w:val="single" w:sz="4" w:space="0" w:color="auto"/>
              <w:right w:val="single" w:sz="4" w:space="0" w:color="auto"/>
            </w:tcBorders>
          </w:tcPr>
          <w:p w:rsidR="00C46FF1" w:rsidRPr="00746FC7" w:rsidRDefault="00D8455B" w:rsidP="004C26B0">
            <w:pPr>
              <w:spacing w:after="0"/>
              <w:jc w:val="center"/>
              <w:rPr>
                <w:rFonts w:ascii="Book Antiqua" w:eastAsia="Calibri" w:hAnsi="Book Antiqua" w:cs="Times New Roman"/>
                <w:highlight w:val="yellow"/>
              </w:rPr>
            </w:pPr>
            <w:r>
              <w:rPr>
                <w:rFonts w:ascii="Book Antiqua" w:eastAsia="Calibri" w:hAnsi="Book Antiqua" w:cs="Times New Roman"/>
              </w:rPr>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 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hAnsi="Book Antiqua" w:cs="Times New Roman"/>
              </w:rPr>
            </w:pPr>
            <w:r w:rsidRPr="00F17B4A">
              <w:rPr>
                <w:rFonts w:ascii="Book Antiqua" w:hAnsi="Book Antiqua" w:cs="Times New Roman"/>
              </w:rPr>
              <w:t>Grupi punues për përcaktimin e nevojave të sistemit të mbikëqyrjes së sëmundjeve ngjitëse i përcaktuar</w:t>
            </w:r>
          </w:p>
        </w:tc>
      </w:tr>
      <w:tr w:rsidR="00C46FF1" w:rsidRPr="00F17B4A" w:rsidTr="00B03549">
        <w:trPr>
          <w:trHeight w:val="1990"/>
        </w:trPr>
        <w:tc>
          <w:tcPr>
            <w:tcW w:w="632" w:type="pct"/>
            <w:vMerge/>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rPr>
            </w:pP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hAnsi="Book Antiqua" w:cs="Times New Roman"/>
              </w:rPr>
            </w:pPr>
            <w:r w:rsidRPr="00F17B4A">
              <w:rPr>
                <w:rFonts w:ascii="Book Antiqua" w:hAnsi="Book Antiqua" w:cs="Times New Roman"/>
              </w:rPr>
              <w:t xml:space="preserve">Vizitë studimore </w:t>
            </w:r>
            <w:r w:rsidR="00F17B4A" w:rsidRPr="00F17B4A">
              <w:rPr>
                <w:rFonts w:ascii="Book Antiqua" w:hAnsi="Book Antiqua" w:cs="Times New Roman"/>
              </w:rPr>
              <w:t>për sistemin</w:t>
            </w:r>
            <w:r w:rsidRPr="00F17B4A">
              <w:rPr>
                <w:rFonts w:ascii="Book Antiqua" w:hAnsi="Book Antiqua" w:cs="Times New Roman"/>
              </w:rPr>
              <w:t xml:space="preserve"> e mbikëqyrjes të SN në ECDC ose ndonjë vend të rajonit (si model).</w:t>
            </w:r>
          </w:p>
          <w:p w:rsidR="00C46FF1" w:rsidRPr="00F17B4A" w:rsidRDefault="00C46FF1" w:rsidP="004C26B0">
            <w:pPr>
              <w:contextualSpacing/>
              <w:rPr>
                <w:rFonts w:ascii="Book Antiqua" w:eastAsia="Calibri" w:hAnsi="Book Antiqua" w:cs="Times New Roman"/>
              </w:rPr>
            </w:pP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ind w:right="-294"/>
              <w:jc w:val="center"/>
              <w:rPr>
                <w:rFonts w:ascii="Book Antiqua" w:eastAsia="Calibri" w:hAnsi="Book Antiqua" w:cs="Times New Roman"/>
              </w:rPr>
            </w:pPr>
            <w:r w:rsidRPr="00F17B4A">
              <w:rPr>
                <w:rFonts w:ascii="Book Antiqua" w:eastAsia="Calibri" w:hAnsi="Book Antiqua" w:cs="Times New Roman"/>
              </w:rPr>
              <w:t xml:space="preserve">Q3, </w:t>
            </w:r>
            <w:r w:rsidR="00D8455B">
              <w:rPr>
                <w:rFonts w:ascii="Book Antiqua" w:eastAsia="Calibri" w:hAnsi="Book Antiqua" w:cs="Times New Roman"/>
              </w:rPr>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20 000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MSh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 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Institucionet tjera</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 xml:space="preserve">Raporti nga vizita studimore </w:t>
            </w:r>
          </w:p>
        </w:tc>
      </w:tr>
      <w:tr w:rsidR="00C46FF1" w:rsidRPr="00F17B4A" w:rsidTr="00B03549">
        <w:trPr>
          <w:trHeight w:val="1990"/>
        </w:trPr>
        <w:tc>
          <w:tcPr>
            <w:tcW w:w="632" w:type="pct"/>
            <w:vMerge/>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rPr>
            </w:pP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eastAsia="Calibri" w:hAnsi="Book Antiqua" w:cs="Times New Roman"/>
              </w:rPr>
            </w:pPr>
            <w:r w:rsidRPr="00F17B4A">
              <w:rPr>
                <w:rFonts w:ascii="Book Antiqua" w:eastAsia="Calibri" w:hAnsi="Book Antiqua" w:cs="Times New Roman"/>
              </w:rPr>
              <w:t xml:space="preserve">Dizajnimi i </w:t>
            </w:r>
            <w:r w:rsidR="00E63722" w:rsidRPr="00F17B4A">
              <w:rPr>
                <w:rFonts w:ascii="Book Antiqua" w:eastAsia="Calibri" w:hAnsi="Book Antiqua" w:cs="Times New Roman"/>
              </w:rPr>
              <w:t>sistemit të</w:t>
            </w:r>
            <w:r w:rsidRPr="00F17B4A">
              <w:rPr>
                <w:rFonts w:ascii="Book Antiqua" w:eastAsia="Calibri" w:hAnsi="Book Antiqua" w:cs="Times New Roman"/>
              </w:rPr>
              <w:t xml:space="preserve"> integruar digjital për mbikëqyrje të sëmundjeve ngjitëse.</w:t>
            </w:r>
          </w:p>
          <w:p w:rsidR="00C46FF1" w:rsidRPr="00F17B4A" w:rsidRDefault="00C46FF1" w:rsidP="004C26B0">
            <w:pPr>
              <w:contextualSpacing/>
              <w:rPr>
                <w:rFonts w:ascii="Book Antiqua" w:eastAsia="Calibri" w:hAnsi="Book Antiqua" w:cs="Times New Roman"/>
              </w:rPr>
            </w:pP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ind w:right="-294"/>
              <w:jc w:val="center"/>
              <w:rPr>
                <w:rFonts w:ascii="Book Antiqua" w:eastAsia="Calibri" w:hAnsi="Book Antiqua" w:cs="Times New Roman"/>
              </w:rPr>
            </w:pPr>
            <w:r>
              <w:rPr>
                <w:rFonts w:ascii="Book Antiqua" w:eastAsia="Calibri" w:hAnsi="Book Antiqua" w:cs="Times New Roman"/>
              </w:rPr>
              <w:t>2023</w:t>
            </w:r>
            <w:r w:rsidR="00C46FF1" w:rsidRPr="00F17B4A">
              <w:rPr>
                <w:rFonts w:ascii="Book Antiqua" w:eastAsia="Calibri" w:hAnsi="Book Antiqua" w:cs="Times New Roman"/>
              </w:rPr>
              <w:t>/</w:t>
            </w:r>
            <w:r>
              <w:rPr>
                <w:rFonts w:ascii="Book Antiqua" w:eastAsia="Calibri" w:hAnsi="Book Antiqua" w:cs="Times New Roman"/>
              </w:rPr>
              <w:t>2024</w:t>
            </w:r>
            <w:r w:rsidR="00C46FF1" w:rsidRPr="00F17B4A">
              <w:rPr>
                <w:rFonts w:ascii="Book Antiqua" w:eastAsia="Calibri" w:hAnsi="Book Antiqua" w:cs="Times New Roman"/>
              </w:rPr>
              <w:t>/</w:t>
            </w:r>
            <w:r>
              <w:rPr>
                <w:rFonts w:ascii="Book Antiqua" w:eastAsia="Calibri" w:hAnsi="Book Antiqua" w:cs="Times New Roman"/>
              </w:rPr>
              <w:t>2025</w:t>
            </w:r>
            <w:r w:rsidR="00C46FF1" w:rsidRPr="00F17B4A">
              <w:rPr>
                <w:rFonts w:ascii="Book Antiqua" w:eastAsia="Calibri" w:hAnsi="Book Antiqua" w:cs="Times New Roman"/>
              </w:rPr>
              <w:t xml:space="preserve"> </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200 000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p w:rsidR="00C46FF1" w:rsidRPr="00F17B4A" w:rsidRDefault="00C46FF1" w:rsidP="004C26B0">
            <w:pPr>
              <w:jc w:val="center"/>
              <w:rPr>
                <w:rFonts w:ascii="Book Antiqua" w:hAnsi="Book Antiqua" w:cs="Times New Roman"/>
              </w:rPr>
            </w:pPr>
            <w:r w:rsidRPr="00F17B4A">
              <w:rPr>
                <w:rFonts w:ascii="Book Antiqua" w:hAnsi="Book Antiqua" w:cs="Times New Roman"/>
              </w:rPr>
              <w:t>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Institucionet tjera</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 xml:space="preserve">Sistem i mbikëqyrjes së SN  funksional dhe i digjitalizuar   </w:t>
            </w:r>
          </w:p>
        </w:tc>
      </w:tr>
      <w:tr w:rsidR="00C46FF1" w:rsidRPr="00F17B4A" w:rsidTr="00B03549">
        <w:trPr>
          <w:trHeight w:val="1990"/>
        </w:trPr>
        <w:tc>
          <w:tcPr>
            <w:tcW w:w="632" w:type="pct"/>
            <w:vMerge/>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rPr>
            </w:pP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eastAsia="Calibri" w:hAnsi="Book Antiqua" w:cs="Times New Roman"/>
              </w:rPr>
            </w:pPr>
            <w:r w:rsidRPr="00F17B4A">
              <w:rPr>
                <w:rFonts w:ascii="Book Antiqua" w:eastAsia="Calibri" w:hAnsi="Book Antiqua" w:cs="Times New Roman"/>
              </w:rPr>
              <w:t xml:space="preserve">Faza e pilotimit të sistemit </w:t>
            </w:r>
            <w:r w:rsidRPr="00F17B4A">
              <w:rPr>
                <w:rFonts w:ascii="Book Antiqua" w:hAnsi="Book Antiqua" w:cs="Times New Roman"/>
              </w:rPr>
              <w:t>të mbikëqyrjes së sëmundjeve ngjitëse</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ind w:right="-294"/>
              <w:jc w:val="center"/>
              <w:rPr>
                <w:rFonts w:ascii="Book Antiqua" w:eastAsia="Calibri" w:hAnsi="Book Antiqua" w:cs="Times New Roman"/>
              </w:rPr>
            </w:pPr>
            <w:r>
              <w:rPr>
                <w:rFonts w:ascii="Book Antiqua" w:eastAsia="Calibri" w:hAnsi="Book Antiqua" w:cs="Times New Roman"/>
              </w:rPr>
              <w:t>2023</w:t>
            </w:r>
            <w:r w:rsidR="00C46FF1" w:rsidRPr="00F17B4A">
              <w:rPr>
                <w:rFonts w:ascii="Book Antiqua" w:eastAsia="Calibri" w:hAnsi="Book Antiqua" w:cs="Times New Roman"/>
              </w:rPr>
              <w:t>/</w:t>
            </w:r>
            <w:r>
              <w:rPr>
                <w:rFonts w:ascii="Book Antiqua" w:eastAsia="Calibri" w:hAnsi="Book Antiqua" w:cs="Times New Roman"/>
              </w:rPr>
              <w:t>2024</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 xml:space="preserve">MSh, IKSHPK, </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Institucionet tjera</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Vlerësimi i fazës së pilotimit të mbikëqyrjes së sëmundjeve ngjitëse</w:t>
            </w:r>
          </w:p>
        </w:tc>
      </w:tr>
      <w:tr w:rsidR="00C46FF1" w:rsidRPr="00F17B4A" w:rsidTr="00B03549">
        <w:trPr>
          <w:trHeight w:val="1990"/>
        </w:trPr>
        <w:tc>
          <w:tcPr>
            <w:tcW w:w="632" w:type="pct"/>
            <w:vMerge/>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rPr>
            </w:pP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eastAsia="Calibri" w:hAnsi="Book Antiqua" w:cs="Times New Roman"/>
              </w:rPr>
            </w:pPr>
            <w:r w:rsidRPr="00F17B4A">
              <w:rPr>
                <w:rFonts w:ascii="Book Antiqua" w:eastAsia="Calibri" w:hAnsi="Book Antiqua" w:cs="Times New Roman"/>
              </w:rPr>
              <w:t>Funksionalizimi dhe aplikimi i sistemit</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ind w:right="-294"/>
              <w:jc w:val="center"/>
              <w:rPr>
                <w:rFonts w:ascii="Book Antiqua" w:eastAsia="Calibri" w:hAnsi="Book Antiqua" w:cs="Times New Roman"/>
              </w:rPr>
            </w:pPr>
            <w:r>
              <w:rPr>
                <w:rFonts w:ascii="Book Antiqua" w:eastAsia="Calibri" w:hAnsi="Book Antiqua" w:cs="Times New Roman"/>
              </w:rPr>
              <w:t>2024</w:t>
            </w:r>
            <w:r w:rsidR="00C46FF1" w:rsidRPr="00F17B4A">
              <w:rPr>
                <w:rFonts w:ascii="Book Antiqua" w:eastAsia="Calibri" w:hAnsi="Book Antiqua" w:cs="Times New Roman"/>
              </w:rPr>
              <w:t>/</w:t>
            </w:r>
            <w:r>
              <w:rPr>
                <w:rFonts w:ascii="Book Antiqua" w:eastAsia="Calibri" w:hAnsi="Book Antiqua" w:cs="Times New Roman"/>
              </w:rPr>
              <w:t>2025</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 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Institucionet tjera</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Sistem funksional i digjitalizuar i  mbikëqyrjes së SN</w:t>
            </w:r>
          </w:p>
        </w:tc>
      </w:tr>
      <w:tr w:rsidR="00C46FF1" w:rsidRPr="00F17B4A" w:rsidTr="00B03549">
        <w:trPr>
          <w:trHeight w:val="1230"/>
        </w:trPr>
        <w:tc>
          <w:tcPr>
            <w:tcW w:w="632" w:type="pct"/>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r w:rsidRPr="00F17B4A">
              <w:rPr>
                <w:rFonts w:ascii="Book Antiqua" w:hAnsi="Book Antiqua" w:cs="Times New Roman"/>
                <w:b/>
                <w:bCs/>
              </w:rPr>
              <w:t xml:space="preserve">3.1.2. </w:t>
            </w:r>
            <w:r w:rsidRPr="00F17B4A">
              <w:rPr>
                <w:rFonts w:ascii="Book Antiqua" w:hAnsi="Book Antiqua" w:cs="Times New Roman"/>
                <w:b/>
                <w:bCs/>
                <w:sz w:val="24"/>
                <w:szCs w:val="24"/>
              </w:rPr>
              <w:t xml:space="preserve"> </w:t>
            </w:r>
            <w:r w:rsidRPr="00F17B4A">
              <w:rPr>
                <w:rFonts w:ascii="Book Antiqua" w:hAnsi="Book Antiqua" w:cs="Times New Roman"/>
                <w:b/>
                <w:bCs/>
              </w:rPr>
              <w:t>Definimi i qartë i objektivave dhe prioriteteve të</w:t>
            </w:r>
            <w:r w:rsidRPr="00F17B4A">
              <w:rPr>
                <w:rFonts w:ascii="Book Antiqua" w:hAnsi="Book Antiqua" w:cs="Times New Roman"/>
                <w:b/>
                <w:bCs/>
                <w:sz w:val="24"/>
                <w:szCs w:val="24"/>
              </w:rPr>
              <w:t xml:space="preserve"> </w:t>
            </w:r>
            <w:r w:rsidRPr="00F17B4A">
              <w:rPr>
                <w:rFonts w:ascii="Book Antiqua" w:hAnsi="Book Antiqua" w:cs="Times New Roman"/>
                <w:b/>
                <w:bCs/>
              </w:rPr>
              <w:t>sistemit të mbikëqyrjes</w:t>
            </w: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rPr>
                <w:rFonts w:ascii="Book Antiqua" w:eastAsia="Calibri" w:hAnsi="Book Antiqua" w:cs="Times New Roman"/>
              </w:rPr>
            </w:pPr>
            <w:r w:rsidRPr="00F17B4A">
              <w:rPr>
                <w:rFonts w:ascii="Book Antiqua" w:eastAsia="Calibri" w:hAnsi="Book Antiqua" w:cs="Times New Roman"/>
              </w:rPr>
              <w:t xml:space="preserve">Përcaktimi dhe definimi i objektivave dhe prioriteteve të sistemit te mbikëqyrjes </w:t>
            </w:r>
          </w:p>
          <w:p w:rsidR="00C46FF1" w:rsidRPr="00F17B4A" w:rsidRDefault="00C46FF1" w:rsidP="004C26B0">
            <w:pPr>
              <w:spacing w:after="0"/>
              <w:rPr>
                <w:rFonts w:ascii="Book Antiqua" w:eastAsia="Calibri" w:hAnsi="Book Antiqua" w:cs="Times New Roman"/>
                <w:highlight w:val="yellow"/>
              </w:rPr>
            </w:pPr>
          </w:p>
          <w:p w:rsidR="00C46FF1" w:rsidRPr="00F17B4A" w:rsidRDefault="00C46FF1" w:rsidP="004C26B0">
            <w:pPr>
              <w:spacing w:after="0"/>
              <w:rPr>
                <w:rFonts w:ascii="Book Antiqua" w:eastAsia="Calibri" w:hAnsi="Book Antiqua" w:cs="Times New Roman"/>
                <w:highlight w:val="yellow"/>
              </w:rPr>
            </w:pP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1000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 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Institucionet tjera</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Objektivat dhe prioritetet e definuara</w:t>
            </w:r>
          </w:p>
          <w:p w:rsidR="00C46FF1" w:rsidRPr="00F17B4A" w:rsidRDefault="00C46FF1" w:rsidP="004C26B0">
            <w:pPr>
              <w:jc w:val="center"/>
              <w:rPr>
                <w:rFonts w:ascii="Book Antiqua" w:hAnsi="Book Antiqua" w:cs="Times New Roman"/>
              </w:rPr>
            </w:pPr>
          </w:p>
        </w:tc>
      </w:tr>
      <w:tr w:rsidR="00C46FF1" w:rsidRPr="00F17B4A" w:rsidTr="00B03549">
        <w:trPr>
          <w:trHeight w:val="824"/>
        </w:trPr>
        <w:tc>
          <w:tcPr>
            <w:tcW w:w="632" w:type="pct"/>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r w:rsidRPr="00F17B4A">
              <w:rPr>
                <w:rFonts w:ascii="Book Antiqua" w:hAnsi="Book Antiqua" w:cs="Times New Roman"/>
                <w:b/>
                <w:bCs/>
              </w:rPr>
              <w:t xml:space="preserve">3.1.3. </w:t>
            </w:r>
            <w:r w:rsidRPr="00F17B4A">
              <w:rPr>
                <w:rFonts w:ascii="Book Antiqua" w:hAnsi="Book Antiqua" w:cs="Times New Roman"/>
                <w:b/>
                <w:bCs/>
                <w:sz w:val="24"/>
                <w:szCs w:val="24"/>
              </w:rPr>
              <w:t xml:space="preserve"> </w:t>
            </w:r>
            <w:r w:rsidRPr="00F17B4A">
              <w:rPr>
                <w:rFonts w:ascii="Book Antiqua" w:hAnsi="Book Antiqua" w:cs="Times New Roman"/>
                <w:b/>
                <w:bCs/>
              </w:rPr>
              <w:t xml:space="preserve">Vendosja e prioriteteve dhe përshtatja e listës së </w:t>
            </w:r>
            <w:r w:rsidRPr="00F17B4A">
              <w:rPr>
                <w:rFonts w:ascii="Book Antiqua" w:hAnsi="Book Antiqua" w:cs="Times New Roman"/>
                <w:b/>
                <w:bCs/>
              </w:rPr>
              <w:lastRenderedPageBreak/>
              <w:t>sëmundjeve të raportueshme me nevojat aktuale, duke përfshirë inkuadrimin e specialistëve të sëmundjeve ngjitëse dhe inkuadrimin e  laboratorëve</w:t>
            </w:r>
          </w:p>
        </w:tc>
        <w:tc>
          <w:tcPr>
            <w:tcW w:w="803" w:type="pct"/>
            <w:tcBorders>
              <w:top w:val="single" w:sz="4" w:space="0" w:color="auto"/>
              <w:left w:val="single" w:sz="4" w:space="0" w:color="auto"/>
              <w:bottom w:val="single" w:sz="4" w:space="0" w:color="auto"/>
              <w:right w:val="single" w:sz="4" w:space="0" w:color="auto"/>
            </w:tcBorders>
          </w:tcPr>
          <w:p w:rsidR="00C46FF1" w:rsidRPr="00746FC7" w:rsidRDefault="00C46FF1" w:rsidP="004C26B0">
            <w:pPr>
              <w:spacing w:after="0"/>
              <w:contextualSpacing/>
              <w:rPr>
                <w:rFonts w:ascii="Book Antiqua" w:eastAsia="MS Mincho" w:hAnsi="Book Antiqua" w:cs="Times New Roman"/>
                <w:highlight w:val="yellow"/>
              </w:rPr>
            </w:pPr>
            <w:r w:rsidRPr="005D279B">
              <w:rPr>
                <w:rFonts w:ascii="Book Antiqua" w:eastAsia="Calibri" w:hAnsi="Book Antiqua" w:cs="Times New Roman"/>
              </w:rPr>
              <w:lastRenderedPageBreak/>
              <w:t xml:space="preserve">Formimi i komitetit për përditësimin e listës për SN sipas KE të obliguara për </w:t>
            </w:r>
            <w:r w:rsidRPr="005D279B">
              <w:rPr>
                <w:rFonts w:ascii="Book Antiqua" w:eastAsia="Calibri" w:hAnsi="Book Antiqua" w:cs="Times New Roman"/>
              </w:rPr>
              <w:lastRenderedPageBreak/>
              <w:t>raportim dhe përshtatja e tij për territorin e Kosovës</w:t>
            </w:r>
          </w:p>
        </w:tc>
        <w:tc>
          <w:tcPr>
            <w:tcW w:w="418" w:type="pct"/>
            <w:tcBorders>
              <w:top w:val="single" w:sz="4" w:space="0" w:color="auto"/>
              <w:left w:val="single" w:sz="4" w:space="0" w:color="auto"/>
              <w:bottom w:val="single" w:sz="4" w:space="0" w:color="auto"/>
              <w:right w:val="single" w:sz="4" w:space="0" w:color="auto"/>
            </w:tcBorders>
          </w:tcPr>
          <w:p w:rsidR="00C46FF1" w:rsidRPr="00746FC7" w:rsidRDefault="00D8455B" w:rsidP="004C26B0">
            <w:pPr>
              <w:spacing w:after="0"/>
              <w:jc w:val="center"/>
              <w:rPr>
                <w:rFonts w:ascii="Book Antiqua" w:eastAsia="Calibri" w:hAnsi="Book Antiqua" w:cs="Times New Roman"/>
                <w:highlight w:val="yellow"/>
              </w:rPr>
            </w:pPr>
            <w:r>
              <w:rPr>
                <w:rFonts w:ascii="Book Antiqua" w:eastAsia="Calibri" w:hAnsi="Book Antiqua" w:cs="Times New Roman"/>
              </w:rPr>
              <w:lastRenderedPageBreak/>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 xml:space="preserve">Komiteti për përpilimin e listës </w:t>
            </w:r>
            <w:r w:rsidRPr="00F17B4A">
              <w:rPr>
                <w:rFonts w:ascii="Book Antiqua" w:hAnsi="Book Antiqua" w:cs="Times New Roman"/>
              </w:rPr>
              <w:lastRenderedPageBreak/>
              <w:t>së SN</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lastRenderedPageBreak/>
              <w:t xml:space="preserve">Aprovimi i Ligjit për parandalim dhe kontrollë të </w:t>
            </w:r>
            <w:r w:rsidRPr="00F17B4A">
              <w:rPr>
                <w:rFonts w:ascii="Book Antiqua" w:hAnsi="Book Antiqua" w:cs="Times New Roman"/>
              </w:rPr>
              <w:lastRenderedPageBreak/>
              <w:t>sëmundjeve ngjitëse.</w:t>
            </w:r>
          </w:p>
          <w:p w:rsidR="00C46FF1" w:rsidRPr="00F17B4A" w:rsidRDefault="00C46FF1" w:rsidP="004C26B0">
            <w:pPr>
              <w:rPr>
                <w:rFonts w:ascii="Book Antiqua" w:hAnsi="Book Antiqua" w:cs="Times New Roman"/>
              </w:rPr>
            </w:pPr>
            <w:r w:rsidRPr="00F17B4A">
              <w:rPr>
                <w:rFonts w:ascii="Book Antiqua" w:hAnsi="Book Antiqua" w:cs="Times New Roman"/>
              </w:rPr>
              <w:t>Grupi i formuar</w:t>
            </w:r>
          </w:p>
          <w:p w:rsidR="00C46FF1" w:rsidRPr="00F17B4A" w:rsidRDefault="00C46FF1" w:rsidP="004C26B0">
            <w:pPr>
              <w:rPr>
                <w:rFonts w:ascii="Book Antiqua" w:hAnsi="Book Antiqua" w:cs="Times New Roman"/>
              </w:rPr>
            </w:pPr>
          </w:p>
        </w:tc>
      </w:tr>
      <w:tr w:rsidR="00C46FF1" w:rsidRPr="00F17B4A" w:rsidTr="00B03549">
        <w:trPr>
          <w:trHeight w:val="824"/>
        </w:trPr>
        <w:tc>
          <w:tcPr>
            <w:tcW w:w="632" w:type="pct"/>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r w:rsidRPr="00F17B4A">
              <w:rPr>
                <w:rFonts w:ascii="Book Antiqua" w:hAnsi="Book Antiqua" w:cs="Times New Roman"/>
                <w:b/>
                <w:bCs/>
              </w:rPr>
              <w:lastRenderedPageBreak/>
              <w:t>3.1.4.  Hartimi i definimeve praktike të rastit në nivel kombëtar në përputhje me përkufizimet e rastit të BE-së, duke përfshirë definimet klinike (suspekte) dhe të konfirmuara</w:t>
            </w:r>
          </w:p>
        </w:tc>
        <w:tc>
          <w:tcPr>
            <w:tcW w:w="803" w:type="pct"/>
            <w:tcBorders>
              <w:top w:val="single" w:sz="4" w:space="0" w:color="auto"/>
              <w:left w:val="single" w:sz="4" w:space="0" w:color="auto"/>
              <w:bottom w:val="single" w:sz="4" w:space="0" w:color="auto"/>
              <w:right w:val="single" w:sz="4" w:space="0" w:color="auto"/>
            </w:tcBorders>
          </w:tcPr>
          <w:p w:rsidR="00830C90" w:rsidRDefault="00C46FF1" w:rsidP="004C26B0">
            <w:pPr>
              <w:spacing w:after="0"/>
              <w:rPr>
                <w:rFonts w:ascii="Book Antiqua" w:eastAsia="Calibri" w:hAnsi="Book Antiqua" w:cs="Times New Roman"/>
              </w:rPr>
            </w:pPr>
            <w:r w:rsidRPr="00F17B4A">
              <w:rPr>
                <w:rFonts w:ascii="Book Antiqua" w:eastAsia="Calibri" w:hAnsi="Book Antiqua" w:cs="Times New Roman"/>
              </w:rPr>
              <w:t xml:space="preserve">Përpilimi </w:t>
            </w:r>
            <w:r w:rsidR="00830C90" w:rsidRPr="00F17B4A">
              <w:rPr>
                <w:rFonts w:ascii="Book Antiqua" w:eastAsia="Calibri" w:hAnsi="Book Antiqua" w:cs="Times New Roman"/>
              </w:rPr>
              <w:t>i përkufizimit të</w:t>
            </w:r>
            <w:r w:rsidRPr="00F17B4A">
              <w:rPr>
                <w:rFonts w:ascii="Book Antiqua" w:eastAsia="Calibri" w:hAnsi="Book Antiqua" w:cs="Times New Roman"/>
              </w:rPr>
              <w:t xml:space="preserve"> rastit </w:t>
            </w:r>
          </w:p>
          <w:p w:rsidR="00C46FF1" w:rsidRPr="00F17B4A" w:rsidRDefault="00830C90" w:rsidP="004C26B0">
            <w:pPr>
              <w:spacing w:after="0"/>
              <w:rPr>
                <w:rFonts w:ascii="Book Antiqua" w:eastAsia="Calibri" w:hAnsi="Book Antiqua" w:cs="Times New Roman"/>
              </w:rPr>
            </w:pPr>
            <w:r>
              <w:rPr>
                <w:rFonts w:ascii="Book Antiqua" w:eastAsia="Calibri" w:hAnsi="Book Antiqua" w:cs="Times New Roman"/>
              </w:rPr>
              <w:t>(</w:t>
            </w:r>
            <w:r w:rsidR="00C46FF1" w:rsidRPr="00F17B4A">
              <w:rPr>
                <w:rFonts w:ascii="Book Antiqua" w:eastAsia="Calibri" w:hAnsi="Book Antiqua" w:cs="Times New Roman"/>
              </w:rPr>
              <w:t xml:space="preserve">case definition), për SN </w:t>
            </w:r>
            <w:r w:rsidRPr="00F17B4A">
              <w:rPr>
                <w:rFonts w:ascii="Book Antiqua" w:eastAsia="Calibri" w:hAnsi="Book Antiqua" w:cs="Times New Roman"/>
              </w:rPr>
              <w:t>sipas listës</w:t>
            </w:r>
            <w:r w:rsidR="00C46FF1" w:rsidRPr="00F17B4A">
              <w:rPr>
                <w:rFonts w:ascii="Book Antiqua" w:eastAsia="Calibri" w:hAnsi="Book Antiqua" w:cs="Times New Roman"/>
              </w:rPr>
              <w:t xml:space="preserve"> </w:t>
            </w:r>
            <w:r w:rsidRPr="00F17B4A">
              <w:rPr>
                <w:rFonts w:ascii="Book Antiqua" w:eastAsia="Calibri" w:hAnsi="Book Antiqua" w:cs="Times New Roman"/>
              </w:rPr>
              <w:t>së SN</w:t>
            </w:r>
            <w:r w:rsidR="00C46FF1" w:rsidRPr="00F17B4A">
              <w:rPr>
                <w:rFonts w:ascii="Book Antiqua" w:eastAsia="Calibri" w:hAnsi="Book Antiqua" w:cs="Times New Roman"/>
              </w:rPr>
              <w:t>, KE (ECDC) të adaptuar për Kosovë</w:t>
            </w:r>
          </w:p>
          <w:p w:rsidR="00C46FF1" w:rsidRPr="00F17B4A" w:rsidRDefault="00C46FF1" w:rsidP="004C26B0">
            <w:pPr>
              <w:spacing w:after="0"/>
              <w:rPr>
                <w:rFonts w:ascii="Book Antiqua" w:eastAsia="Calibri" w:hAnsi="Book Antiqua" w:cs="Times New Roman"/>
              </w:rPr>
            </w:pP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2000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Komiteti për përpilimin e listës së SN</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Aprovimi i Ligjit për parandalim dhe kontrollë të sëmundjeve ngjitëse.</w:t>
            </w:r>
          </w:p>
          <w:p w:rsidR="00C46FF1" w:rsidRPr="00F17B4A" w:rsidRDefault="00C46FF1" w:rsidP="004C26B0">
            <w:pPr>
              <w:rPr>
                <w:rFonts w:ascii="Book Antiqua" w:hAnsi="Book Antiqua" w:cs="Times New Roman"/>
              </w:rPr>
            </w:pPr>
            <w:r w:rsidRPr="00F17B4A">
              <w:rPr>
                <w:rFonts w:ascii="Book Antiqua" w:hAnsi="Book Antiqua" w:cs="Times New Roman"/>
              </w:rPr>
              <w:t>Definimi i rastit për SN i përpiluar sipas listës së KE (ECDC)</w:t>
            </w:r>
          </w:p>
          <w:p w:rsidR="00C46FF1" w:rsidRPr="00F17B4A" w:rsidRDefault="00C46FF1" w:rsidP="004C26B0">
            <w:pPr>
              <w:rPr>
                <w:rFonts w:ascii="Book Antiqua" w:hAnsi="Book Antiqua" w:cs="Times New Roman"/>
              </w:rPr>
            </w:pPr>
            <w:r w:rsidRPr="00F17B4A">
              <w:rPr>
                <w:rFonts w:ascii="Book Antiqua" w:hAnsi="Book Antiqua" w:cs="Times New Roman"/>
              </w:rPr>
              <w:t xml:space="preserve">  </w:t>
            </w:r>
          </w:p>
        </w:tc>
      </w:tr>
      <w:tr w:rsidR="00C46FF1" w:rsidRPr="00F17B4A" w:rsidTr="00B03549">
        <w:trPr>
          <w:trHeight w:val="2492"/>
        </w:trPr>
        <w:tc>
          <w:tcPr>
            <w:tcW w:w="632"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46FF1" w:rsidRPr="00E220FB" w:rsidRDefault="00C46FF1" w:rsidP="00E220FB">
            <w:pPr>
              <w:rPr>
                <w:rFonts w:ascii="Book Antiqua" w:hAnsi="Book Antiqua"/>
                <w:b/>
              </w:rPr>
            </w:pPr>
            <w:r w:rsidRPr="00E220FB">
              <w:rPr>
                <w:rFonts w:ascii="Book Antiqua" w:hAnsi="Book Antiqua"/>
                <w:b/>
              </w:rPr>
              <w:lastRenderedPageBreak/>
              <w:t>3.1.5.  Përcaktimi i metodologjisë dhe zbatimi i monitorimit të plotshmërisë dhe vlefshmërisë së brendshme</w:t>
            </w: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830C90">
            <w:pPr>
              <w:spacing w:after="0"/>
              <w:rPr>
                <w:rFonts w:ascii="Book Antiqua" w:eastAsia="Calibri" w:hAnsi="Book Antiqua" w:cs="Times New Roman"/>
              </w:rPr>
            </w:pPr>
            <w:r w:rsidRPr="00F17B4A">
              <w:rPr>
                <w:rFonts w:ascii="Book Antiqua" w:eastAsia="Calibri" w:hAnsi="Book Antiqua" w:cs="Times New Roman"/>
              </w:rPr>
              <w:t>Hartimi  i PSO -së lidhur me monitorimin e kompletimit dhe validitetit të të dhënave</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2023</w:t>
            </w:r>
            <w:r w:rsidR="00C46FF1" w:rsidRPr="00F17B4A">
              <w:rPr>
                <w:rFonts w:ascii="Book Antiqua" w:eastAsia="Calibri" w:hAnsi="Book Antiqua" w:cs="Times New Roman"/>
              </w:rPr>
              <w:t>/</w:t>
            </w:r>
            <w:r>
              <w:rPr>
                <w:rFonts w:ascii="Book Antiqua" w:eastAsia="Calibri" w:hAnsi="Book Antiqua" w:cs="Times New Roman"/>
              </w:rPr>
              <w:t>2024</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2000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IKSHPK, MSh</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Institucionet tjera</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PSO e hartuar për monitorimin e kompletimit dhe validitetin e të dhënave</w:t>
            </w:r>
          </w:p>
        </w:tc>
      </w:tr>
      <w:tr w:rsidR="00C46FF1" w:rsidRPr="00F17B4A" w:rsidTr="00B03549">
        <w:trPr>
          <w:trHeight w:val="824"/>
        </w:trPr>
        <w:tc>
          <w:tcPr>
            <w:tcW w:w="632"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46FF1" w:rsidRPr="00F17B4A" w:rsidRDefault="00C46FF1" w:rsidP="004C26B0">
            <w:pPr>
              <w:rPr>
                <w:rStyle w:val="y2iqfc"/>
                <w:rFonts w:ascii="Book Antiqua" w:hAnsi="Book Antiqua" w:cs="Times New Roman"/>
                <w:b/>
                <w:bCs/>
              </w:rPr>
            </w:pPr>
            <w:r w:rsidRPr="00F17B4A">
              <w:rPr>
                <w:rFonts w:ascii="Book Antiqua" w:hAnsi="Book Antiqua" w:cs="Times New Roman"/>
                <w:b/>
                <w:bCs/>
              </w:rPr>
              <w:t>3.2.1</w:t>
            </w:r>
            <w:r w:rsidRPr="00F17B4A">
              <w:rPr>
                <w:rFonts w:ascii="Book Antiqua" w:hAnsi="Book Antiqua" w:cs="Times New Roman"/>
                <w:b/>
                <w:bCs/>
                <w:sz w:val="24"/>
                <w:szCs w:val="24"/>
              </w:rPr>
              <w:t xml:space="preserve"> </w:t>
            </w:r>
            <w:r w:rsidRPr="00F17B4A">
              <w:rPr>
                <w:rFonts w:ascii="Book Antiqua" w:hAnsi="Book Antiqua" w:cs="Times New Roman"/>
                <w:b/>
                <w:bCs/>
              </w:rPr>
              <w:t>Sistematizimi dhe zyrtarizimi i aktiviteteve të mbikëqyrjes dhe përgjegjes në udhërrëfyesit dhe PSO-të e përditësuara p.sh. për mbikëqyrjen (duke përfshirë mbikëqyrjen e bazuar në indikator dhe ngjarje), vlerësimin e rrezikut dhe për hulumtimin e epidemisë</w:t>
            </w:r>
            <w:r w:rsidRPr="00F17B4A">
              <w:rPr>
                <w:rFonts w:ascii="Book Antiqua" w:hAnsi="Book Antiqua" w:cs="Times New Roman"/>
                <w:sz w:val="24"/>
                <w:szCs w:val="24"/>
              </w:rPr>
              <w:t xml:space="preserve"> </w:t>
            </w:r>
            <w:r w:rsidRPr="00F17B4A">
              <w:rPr>
                <w:rFonts w:ascii="Book Antiqua" w:hAnsi="Book Antiqua" w:cs="Times New Roman"/>
                <w:b/>
                <w:bCs/>
              </w:rPr>
              <w:t xml:space="preserve">(shih Kapitullin 3.4.2 </w:t>
            </w:r>
            <w:r w:rsidRPr="00F17B4A">
              <w:rPr>
                <w:rFonts w:ascii="Book Antiqua" w:hAnsi="Book Antiqua" w:cs="Times New Roman"/>
                <w:b/>
                <w:bCs/>
              </w:rPr>
              <w:lastRenderedPageBreak/>
              <w:t>dhe  Kapitullin  4).</w:t>
            </w: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rPr>
                <w:rFonts w:ascii="Book Antiqua" w:eastAsia="Calibri" w:hAnsi="Book Antiqua" w:cs="Times New Roman"/>
              </w:rPr>
            </w:pPr>
            <w:r w:rsidRPr="00F17B4A">
              <w:rPr>
                <w:rFonts w:ascii="Book Antiqua" w:eastAsia="Calibri" w:hAnsi="Book Antiqua" w:cs="Times New Roman"/>
              </w:rPr>
              <w:lastRenderedPageBreak/>
              <w:t xml:space="preserve">Hartimi dhe përditësimi i udhëzuesve për sistemin e mbikëqyrjes së sëmundjeve ngjitëse  </w:t>
            </w:r>
          </w:p>
          <w:p w:rsidR="00C46FF1" w:rsidRPr="00F17B4A" w:rsidRDefault="00C46FF1" w:rsidP="004C26B0">
            <w:pPr>
              <w:spacing w:after="0"/>
              <w:rPr>
                <w:rFonts w:ascii="Book Antiqua" w:eastAsia="Calibri" w:hAnsi="Book Antiqua" w:cs="Times New Roman"/>
              </w:rPr>
            </w:pP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2023</w:t>
            </w:r>
            <w:r w:rsidR="00C46FF1" w:rsidRPr="00F17B4A">
              <w:rPr>
                <w:rFonts w:ascii="Book Antiqua" w:eastAsia="Calibri" w:hAnsi="Book Antiqua" w:cs="Times New Roman"/>
              </w:rPr>
              <w:t>/</w:t>
            </w:r>
            <w:r>
              <w:rPr>
                <w:rFonts w:ascii="Book Antiqua" w:eastAsia="Calibri" w:hAnsi="Book Antiqua" w:cs="Times New Roman"/>
              </w:rPr>
              <w:t>2024</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2000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 xml:space="preserve"> IKSHPK, MSH</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Institucionet tjera</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eastAsia="Calibri" w:hAnsi="Book Antiqua" w:cs="Times New Roman"/>
              </w:rPr>
            </w:pPr>
            <w:r w:rsidRPr="00F17B4A">
              <w:rPr>
                <w:rFonts w:ascii="Book Antiqua" w:eastAsia="Calibri" w:hAnsi="Book Antiqua" w:cs="Times New Roman"/>
              </w:rPr>
              <w:t>Udhëzuesit  për sistemin e mbikëqyrjes së sëmundjeve ngjitëse  i hartuar, përditësuar  dhe miratuar</w:t>
            </w:r>
          </w:p>
          <w:p w:rsidR="00C46FF1" w:rsidRPr="00F17B4A" w:rsidRDefault="00C46FF1" w:rsidP="004C26B0">
            <w:pPr>
              <w:rPr>
                <w:rFonts w:ascii="Book Antiqua" w:hAnsi="Book Antiqua" w:cs="Times New Roman"/>
              </w:rPr>
            </w:pPr>
            <w:r w:rsidRPr="00F17B4A">
              <w:rPr>
                <w:rFonts w:ascii="Book Antiqua" w:hAnsi="Book Antiqua" w:cs="Times New Roman"/>
              </w:rPr>
              <w:t>Udhëzuesi për hulumtimin e epidemisë dhe përgjigjes epidemiologjike është hartuar në vitin 2019</w:t>
            </w:r>
          </w:p>
        </w:tc>
      </w:tr>
      <w:tr w:rsidR="00C46FF1" w:rsidRPr="00F17B4A" w:rsidTr="00B03549">
        <w:trPr>
          <w:trHeight w:val="830"/>
        </w:trPr>
        <w:tc>
          <w:tcPr>
            <w:tcW w:w="632" w:type="pct"/>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line="240" w:lineRule="auto"/>
              <w:rPr>
                <w:rFonts w:ascii="Book Antiqua" w:hAnsi="Book Antiqua" w:cs="Times New Roman"/>
              </w:rPr>
            </w:pPr>
            <w:r w:rsidRPr="00F17B4A">
              <w:rPr>
                <w:rFonts w:ascii="Book Antiqua" w:eastAsia="Calibri" w:hAnsi="Book Antiqua" w:cs="Times New Roman"/>
              </w:rPr>
              <w:t xml:space="preserve">Trajnimi i  profesionistëve  shëndetësorë për sistemin e mbikëqyrjes së SN  </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2023</w:t>
            </w:r>
            <w:r w:rsidR="00C46FF1" w:rsidRPr="00F17B4A">
              <w:rPr>
                <w:rFonts w:ascii="Book Antiqua" w:eastAsia="Calibri" w:hAnsi="Book Antiqua" w:cs="Times New Roman"/>
              </w:rPr>
              <w:t>/</w:t>
            </w:r>
            <w:r>
              <w:rPr>
                <w:rFonts w:ascii="Book Antiqua" w:eastAsia="Calibri" w:hAnsi="Book Antiqua" w:cs="Times New Roman"/>
              </w:rPr>
              <w:t>2024</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10000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Profesionistet shëndetësor të trajnuar</w:t>
            </w:r>
          </w:p>
        </w:tc>
      </w:tr>
      <w:tr w:rsidR="00C46FF1" w:rsidRPr="00F17B4A" w:rsidTr="00B03549">
        <w:trPr>
          <w:trHeight w:val="830"/>
        </w:trPr>
        <w:tc>
          <w:tcPr>
            <w:tcW w:w="632" w:type="pct"/>
            <w:vMerge w:val="restart"/>
            <w:tcBorders>
              <w:top w:val="single" w:sz="4" w:space="0" w:color="auto"/>
              <w:left w:val="single" w:sz="4" w:space="0" w:color="auto"/>
              <w:right w:val="single" w:sz="4" w:space="0" w:color="auto"/>
            </w:tcBorders>
            <w:shd w:val="clear" w:color="auto" w:fill="C2D69B" w:themeFill="accent3" w:themeFillTint="99"/>
          </w:tcPr>
          <w:p w:rsidR="00C46FF1" w:rsidRPr="00F17B4A" w:rsidRDefault="00C46FF1" w:rsidP="004C26B0">
            <w:pPr>
              <w:rPr>
                <w:rStyle w:val="y2iqfc"/>
                <w:rFonts w:ascii="Book Antiqua" w:hAnsi="Book Antiqua" w:cs="Times New Roman"/>
                <w:b/>
                <w:bCs/>
              </w:rPr>
            </w:pPr>
            <w:r w:rsidRPr="00F17B4A">
              <w:rPr>
                <w:rFonts w:ascii="Book Antiqua" w:hAnsi="Book Antiqua" w:cs="Times New Roman"/>
                <w:b/>
                <w:bCs/>
              </w:rPr>
              <w:t xml:space="preserve">3.2.2. </w:t>
            </w:r>
            <w:r w:rsidRPr="00F17B4A">
              <w:rPr>
                <w:rFonts w:ascii="Book Antiqua" w:hAnsi="Book Antiqua" w:cs="Times New Roman"/>
                <w:b/>
                <w:bCs/>
                <w:sz w:val="24"/>
                <w:szCs w:val="24"/>
              </w:rPr>
              <w:t xml:space="preserve"> </w:t>
            </w:r>
            <w:r w:rsidRPr="00F17B4A">
              <w:rPr>
                <w:rFonts w:ascii="Book Antiqua" w:hAnsi="Book Antiqua" w:cs="Times New Roman"/>
                <w:b/>
                <w:bCs/>
              </w:rPr>
              <w:t>Rishikimi i përmbajtjes (duke përfshirë prezantimin e të dhënave) së buletineve mujore dhe vjetore në nivel rajonal dhe kombëtar</w:t>
            </w: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eastAsia="Calibri" w:hAnsi="Book Antiqua" w:cs="Times New Roman"/>
              </w:rPr>
            </w:pPr>
            <w:r w:rsidRPr="00F17B4A">
              <w:rPr>
                <w:rFonts w:ascii="Book Antiqua" w:eastAsia="Calibri" w:hAnsi="Book Antiqua" w:cs="Times New Roman"/>
              </w:rPr>
              <w:t xml:space="preserve">Ridizajnim i </w:t>
            </w:r>
            <w:r w:rsidRPr="00F17B4A">
              <w:rPr>
                <w:rFonts w:ascii="Book Antiqua" w:hAnsi="Book Antiqua" w:cs="Times New Roman"/>
              </w:rPr>
              <w:t>buletineve mujore dhe vjetore</w:t>
            </w:r>
            <w:r w:rsidRPr="00F17B4A">
              <w:rPr>
                <w:rFonts w:ascii="Book Antiqua" w:eastAsia="Calibri" w:hAnsi="Book Antiqua" w:cs="Times New Roman"/>
              </w:rPr>
              <w:t xml:space="preserve"> sipas modeleve të ECDC</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2000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Struktura e  buletineve mujore dhe vjetore e ridizajnuar</w:t>
            </w:r>
          </w:p>
        </w:tc>
      </w:tr>
      <w:tr w:rsidR="00C46FF1" w:rsidRPr="00F17B4A" w:rsidTr="00B03549">
        <w:trPr>
          <w:trHeight w:val="3407"/>
        </w:trPr>
        <w:tc>
          <w:tcPr>
            <w:tcW w:w="632" w:type="pct"/>
            <w:vMerge/>
            <w:tcBorders>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hAnsi="Book Antiqua" w:cs="Times New Roman"/>
              </w:rPr>
            </w:pPr>
            <w:r w:rsidRPr="00F17B4A">
              <w:rPr>
                <w:rFonts w:ascii="Book Antiqua" w:hAnsi="Book Antiqua" w:cs="Times New Roman"/>
              </w:rPr>
              <w:t>Trajnimi i epidemiologëve për analizën e të dhënave</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jc w:val="center"/>
              <w:rPr>
                <w:rFonts w:ascii="Book Antiqua" w:eastAsia="Calibri" w:hAnsi="Book Antiqua" w:cs="Times New Roman"/>
              </w:rPr>
            </w:pPr>
            <w:r w:rsidRPr="00F17B4A">
              <w:rPr>
                <w:rFonts w:ascii="Book Antiqua" w:eastAsia="Calibri" w:hAnsi="Book Antiqua" w:cs="Times New Roman"/>
              </w:rPr>
              <w:t xml:space="preserve">Q3, </w:t>
            </w:r>
            <w:r w:rsidR="00D8455B">
              <w:rPr>
                <w:rFonts w:ascii="Book Antiqua" w:eastAsia="Calibri" w:hAnsi="Book Antiqua" w:cs="Times New Roman"/>
              </w:rPr>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2000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Numri i të trajnuarve</w:t>
            </w:r>
          </w:p>
        </w:tc>
      </w:tr>
      <w:tr w:rsidR="00C46FF1" w:rsidRPr="00F17B4A" w:rsidTr="00B03549">
        <w:trPr>
          <w:trHeight w:val="3407"/>
        </w:trPr>
        <w:tc>
          <w:tcPr>
            <w:tcW w:w="632" w:type="pct"/>
            <w:vMerge w:val="restart"/>
            <w:tcBorders>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r w:rsidRPr="00F17B4A">
              <w:rPr>
                <w:rFonts w:ascii="Book Antiqua" w:hAnsi="Book Antiqua" w:cs="Times New Roman"/>
                <w:b/>
                <w:bCs/>
              </w:rPr>
              <w:lastRenderedPageBreak/>
              <w:t xml:space="preserve">3.2.3. </w:t>
            </w:r>
            <w:r w:rsidRPr="00F17B4A">
              <w:rPr>
                <w:rFonts w:ascii="Book Antiqua" w:hAnsi="Book Antiqua" w:cs="Times New Roman"/>
                <w:b/>
                <w:bCs/>
                <w:sz w:val="24"/>
                <w:szCs w:val="24"/>
              </w:rPr>
              <w:t xml:space="preserve"> </w:t>
            </w:r>
            <w:r w:rsidRPr="00F17B4A">
              <w:rPr>
                <w:rFonts w:ascii="Book Antiqua" w:hAnsi="Book Antiqua" w:cs="Times New Roman"/>
                <w:b/>
                <w:bCs/>
              </w:rPr>
              <w:t>Implementimi i një sistemi të shërbimit 24/7 për epidemiologët, me telefona dhe numra të dedikuar, për të siguruar disponueshmërinë e personelit në nivel kombëtar dhe rajonal për t'iu përgjigjur shpejt dhe me efikasitet ngjarjeve të shëndetit publik</w:t>
            </w: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hAnsi="Book Antiqua" w:cs="Times New Roman"/>
              </w:rPr>
            </w:pPr>
            <w:r w:rsidRPr="00F17B4A">
              <w:rPr>
                <w:rFonts w:ascii="Book Antiqua" w:hAnsi="Book Antiqua" w:cs="Times New Roman"/>
              </w:rPr>
              <w:t>Implementimi i sistemit 24/7 për gatishmërinë dhe përgjigje të shpejtë epidemiologjike</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IKSHPK</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hAnsi="Book Antiqua" w:cs="Times New Roman"/>
              </w:rPr>
              <w:t>Sistemi i funksionalizuar on line për gatishmërinë dhe përgjigje epidemiologjike</w:t>
            </w:r>
          </w:p>
        </w:tc>
      </w:tr>
      <w:tr w:rsidR="00C46FF1" w:rsidRPr="00F17B4A" w:rsidTr="00B03549">
        <w:trPr>
          <w:trHeight w:val="3407"/>
        </w:trPr>
        <w:tc>
          <w:tcPr>
            <w:tcW w:w="632" w:type="pct"/>
            <w:vMerge/>
            <w:tcBorders>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p>
        </w:tc>
        <w:tc>
          <w:tcPr>
            <w:tcW w:w="803" w:type="pct"/>
            <w:tcBorders>
              <w:top w:val="single" w:sz="4" w:space="0" w:color="auto"/>
              <w:left w:val="single" w:sz="4" w:space="0" w:color="auto"/>
              <w:bottom w:val="single" w:sz="4" w:space="0" w:color="auto"/>
              <w:right w:val="single" w:sz="4" w:space="0" w:color="auto"/>
            </w:tcBorders>
          </w:tcPr>
          <w:p w:rsidR="00C46FF1" w:rsidRPr="005D279B" w:rsidRDefault="00830C90" w:rsidP="004C26B0">
            <w:pPr>
              <w:contextualSpacing/>
              <w:rPr>
                <w:rFonts w:ascii="Book Antiqua" w:eastAsia="Calibri" w:hAnsi="Book Antiqua" w:cs="Times New Roman"/>
              </w:rPr>
            </w:pPr>
            <w:r w:rsidRPr="005D279B">
              <w:rPr>
                <w:rFonts w:ascii="Book Antiqua" w:eastAsia="Calibri" w:hAnsi="Book Antiqua" w:cs="Times New Roman"/>
              </w:rPr>
              <w:t xml:space="preserve">Funksionalizimi i </w:t>
            </w:r>
            <w:r w:rsidR="00C46FF1" w:rsidRPr="005D279B">
              <w:rPr>
                <w:rFonts w:ascii="Book Antiqua" w:eastAsia="Calibri" w:hAnsi="Book Antiqua" w:cs="Times New Roman"/>
              </w:rPr>
              <w:t xml:space="preserve"> si</w:t>
            </w:r>
            <w:r w:rsidRPr="005D279B">
              <w:rPr>
                <w:rFonts w:ascii="Book Antiqua" w:eastAsia="Calibri" w:hAnsi="Book Antiqua" w:cs="Times New Roman"/>
              </w:rPr>
              <w:t>s</w:t>
            </w:r>
            <w:r w:rsidR="00C46FF1" w:rsidRPr="005D279B">
              <w:rPr>
                <w:rFonts w:ascii="Book Antiqua" w:eastAsia="Calibri" w:hAnsi="Book Antiqua" w:cs="Times New Roman"/>
              </w:rPr>
              <w:t>temit telefonik për kujdestarinë në thirrje</w:t>
            </w:r>
          </w:p>
        </w:tc>
        <w:tc>
          <w:tcPr>
            <w:tcW w:w="418" w:type="pct"/>
            <w:tcBorders>
              <w:top w:val="single" w:sz="4" w:space="0" w:color="auto"/>
              <w:left w:val="single" w:sz="4" w:space="0" w:color="auto"/>
              <w:bottom w:val="single" w:sz="4" w:space="0" w:color="auto"/>
              <w:right w:val="single" w:sz="4" w:space="0" w:color="auto"/>
            </w:tcBorders>
          </w:tcPr>
          <w:p w:rsidR="00C46FF1" w:rsidRPr="005D279B" w:rsidRDefault="00D8455B" w:rsidP="004C26B0">
            <w:pPr>
              <w:spacing w:after="0"/>
              <w:jc w:val="center"/>
              <w:rPr>
                <w:rFonts w:ascii="Book Antiqua" w:eastAsia="Calibri" w:hAnsi="Book Antiqua" w:cs="Times New Roman"/>
              </w:rPr>
            </w:pPr>
            <w:r>
              <w:rPr>
                <w:rFonts w:ascii="Book Antiqua" w:eastAsia="Calibri" w:hAnsi="Book Antiqua" w:cs="Times New Roman"/>
              </w:rPr>
              <w:t>2023</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100 000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p>
        </w:tc>
        <w:tc>
          <w:tcPr>
            <w:tcW w:w="496" w:type="pct"/>
            <w:tcBorders>
              <w:top w:val="single" w:sz="4" w:space="0" w:color="auto"/>
              <w:left w:val="single" w:sz="4" w:space="0" w:color="auto"/>
              <w:bottom w:val="single" w:sz="4" w:space="0" w:color="auto"/>
              <w:right w:val="single" w:sz="4" w:space="0" w:color="auto"/>
            </w:tcBorders>
          </w:tcPr>
          <w:p w:rsidR="005D279B" w:rsidRDefault="00C46FF1" w:rsidP="004C26B0">
            <w:pPr>
              <w:jc w:val="center"/>
              <w:rPr>
                <w:rFonts w:ascii="Book Antiqua" w:hAnsi="Book Antiqua" w:cs="Times New Roman"/>
              </w:rPr>
            </w:pPr>
            <w:r w:rsidRPr="00F17B4A">
              <w:rPr>
                <w:rFonts w:ascii="Book Antiqua" w:hAnsi="Book Antiqua" w:cs="Times New Roman"/>
              </w:rPr>
              <w:t>MSh, PTK,</w:t>
            </w:r>
          </w:p>
          <w:p w:rsidR="005D279B" w:rsidRDefault="005D279B" w:rsidP="004C26B0">
            <w:pPr>
              <w:jc w:val="center"/>
              <w:rPr>
                <w:rFonts w:ascii="Book Antiqua" w:hAnsi="Book Antiqua" w:cs="Times New Roman"/>
              </w:rPr>
            </w:pPr>
            <w:r>
              <w:rPr>
                <w:rFonts w:ascii="Book Antiqua" w:hAnsi="Book Antiqua" w:cs="Times New Roman"/>
              </w:rPr>
              <w:t>BB</w:t>
            </w:r>
          </w:p>
          <w:p w:rsidR="00C46FF1" w:rsidRPr="00F17B4A" w:rsidRDefault="00C46FF1" w:rsidP="004C26B0">
            <w:pPr>
              <w:jc w:val="center"/>
              <w:rPr>
                <w:rFonts w:ascii="Book Antiqua" w:hAnsi="Book Antiqua" w:cs="Times New Roman"/>
              </w:rPr>
            </w:pPr>
            <w:r w:rsidRPr="00F17B4A">
              <w:rPr>
                <w:rFonts w:ascii="Book Antiqua" w:hAnsi="Book Antiqua" w:cs="Times New Roman"/>
              </w:rPr>
              <w:t xml:space="preserve"> 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eastAsia="Calibri" w:hAnsi="Book Antiqua" w:cs="Times New Roman"/>
              </w:rPr>
            </w:pPr>
            <w:r w:rsidRPr="00F17B4A">
              <w:rPr>
                <w:rFonts w:ascii="Book Antiqua" w:eastAsia="Calibri" w:hAnsi="Book Antiqua" w:cs="Times New Roman"/>
              </w:rPr>
              <w:t>Sistemi telefonik për kujdestarinë ne thirrje i siguruar (softueri funksional)</w:t>
            </w:r>
          </w:p>
        </w:tc>
      </w:tr>
      <w:tr w:rsidR="00C46FF1" w:rsidRPr="00F17B4A" w:rsidTr="00B03549">
        <w:trPr>
          <w:trHeight w:val="3407"/>
        </w:trPr>
        <w:tc>
          <w:tcPr>
            <w:tcW w:w="632" w:type="pct"/>
            <w:tcBorders>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r w:rsidRPr="00F17B4A">
              <w:rPr>
                <w:rFonts w:ascii="Book Antiqua" w:hAnsi="Book Antiqua" w:cs="Times New Roman"/>
                <w:b/>
                <w:bCs/>
              </w:rPr>
              <w:lastRenderedPageBreak/>
              <w:t xml:space="preserve">3.2.4. </w:t>
            </w:r>
            <w:r w:rsidRPr="00F17B4A">
              <w:rPr>
                <w:rFonts w:ascii="Book Antiqua" w:hAnsi="Book Antiqua" w:cs="Times New Roman"/>
                <w:b/>
                <w:bCs/>
                <w:sz w:val="24"/>
                <w:szCs w:val="24"/>
              </w:rPr>
              <w:t xml:space="preserve">   </w:t>
            </w:r>
            <w:r w:rsidRPr="00F17B4A">
              <w:rPr>
                <w:rFonts w:ascii="Book Antiqua" w:hAnsi="Book Antiqua" w:cs="Times New Roman"/>
                <w:b/>
                <w:bCs/>
              </w:rPr>
              <w:t>Realizimi i një takim /telekonferencë të rregullt (në nivel kombëtar dhe rajonal) për diskutimin dhe vlerësimin e ngjarjeve të identifikuara përmes inteligjencës epidemike</w:t>
            </w: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hAnsi="Book Antiqua" w:cs="Times New Roman"/>
              </w:rPr>
            </w:pPr>
            <w:r w:rsidRPr="00F17B4A">
              <w:rPr>
                <w:rFonts w:ascii="Book Antiqua" w:eastAsia="Calibri" w:hAnsi="Book Antiqua" w:cs="Times New Roman"/>
              </w:rPr>
              <w:t>Trajnimi/Ritraj</w:t>
            </w:r>
            <w:r w:rsidR="00830C90">
              <w:rPr>
                <w:rFonts w:ascii="Book Antiqua" w:eastAsia="Calibri" w:hAnsi="Book Antiqua" w:cs="Times New Roman"/>
              </w:rPr>
              <w:t>nimi i</w:t>
            </w:r>
            <w:r w:rsidRPr="00F17B4A">
              <w:rPr>
                <w:rFonts w:ascii="Book Antiqua" w:eastAsia="Calibri" w:hAnsi="Book Antiqua" w:cs="Times New Roman"/>
              </w:rPr>
              <w:t xml:space="preserve"> epidemiologëve </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2024</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10000</w:t>
            </w: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IKSHPK,  MSh,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RKi</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Institucionet tjera</w:t>
            </w: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hAnsi="Book Antiqua" w:cs="Times New Roman"/>
              </w:rPr>
            </w:pPr>
            <w:r w:rsidRPr="00F17B4A">
              <w:rPr>
                <w:rFonts w:ascii="Book Antiqua" w:eastAsia="Calibri" w:hAnsi="Book Antiqua" w:cs="Times New Roman"/>
              </w:rPr>
              <w:t>Telekonferenca e funksionalizuar me QRSHP rajonale dhe epidemiologët</w:t>
            </w:r>
          </w:p>
        </w:tc>
      </w:tr>
      <w:tr w:rsidR="00C46FF1" w:rsidRPr="00F17B4A" w:rsidTr="00B03549">
        <w:trPr>
          <w:trHeight w:val="3407"/>
        </w:trPr>
        <w:tc>
          <w:tcPr>
            <w:tcW w:w="632" w:type="pct"/>
            <w:tcBorders>
              <w:left w:val="single" w:sz="4" w:space="0" w:color="auto"/>
              <w:right w:val="single" w:sz="4" w:space="0" w:color="auto"/>
            </w:tcBorders>
            <w:shd w:val="clear" w:color="auto" w:fill="C2D69B" w:themeFill="accent3" w:themeFillTint="99"/>
          </w:tcPr>
          <w:p w:rsidR="00C46FF1" w:rsidRPr="00F17B4A" w:rsidRDefault="00C46FF1" w:rsidP="004C26B0">
            <w:pPr>
              <w:rPr>
                <w:rFonts w:ascii="Book Antiqua" w:hAnsi="Book Antiqua" w:cs="Times New Roman"/>
                <w:b/>
                <w:bCs/>
              </w:rPr>
            </w:pPr>
            <w:r w:rsidRPr="00F17B4A">
              <w:rPr>
                <w:rFonts w:ascii="Book Antiqua" w:hAnsi="Book Antiqua" w:cs="Times New Roman"/>
                <w:b/>
                <w:bCs/>
              </w:rPr>
              <w:t xml:space="preserve">3.3.  Në të ardhmen e afërt, të bashkohen bazat e të dhënave ekzistuese nga Qendrat Rajonale  të Shëndetësisë Publike për të formuar një bazë të dhënash kombëtare (të mos parashikohet që SISH i ri do të </w:t>
            </w:r>
            <w:r w:rsidRPr="00F17B4A">
              <w:rPr>
                <w:rFonts w:ascii="Book Antiqua" w:hAnsi="Book Antiqua" w:cs="Times New Roman"/>
                <w:b/>
                <w:bCs/>
              </w:rPr>
              <w:lastRenderedPageBreak/>
              <w:t>plotësojë nevojat e mbikëqyrjes së sëmundjeve ngjitëse/paralajmërimit të hershëm).</w:t>
            </w:r>
          </w:p>
        </w:tc>
        <w:tc>
          <w:tcPr>
            <w:tcW w:w="803"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contextualSpacing/>
              <w:rPr>
                <w:rFonts w:ascii="Book Antiqua" w:eastAsia="Calibri" w:hAnsi="Book Antiqua" w:cs="Times New Roman"/>
              </w:rPr>
            </w:pPr>
            <w:r w:rsidRPr="00F17B4A">
              <w:rPr>
                <w:rFonts w:ascii="Book Antiqua" w:eastAsia="Calibri" w:hAnsi="Book Antiqua" w:cs="Times New Roman"/>
              </w:rPr>
              <w:lastRenderedPageBreak/>
              <w:t>Unifikimi i databazës së të dhënave në QRSHP dhe IKSHPK</w:t>
            </w: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D8455B" w:rsidP="004C26B0">
            <w:pPr>
              <w:spacing w:after="0"/>
              <w:jc w:val="center"/>
              <w:rPr>
                <w:rFonts w:ascii="Book Antiqua" w:eastAsia="Calibri" w:hAnsi="Book Antiqua" w:cs="Times New Roman"/>
              </w:rPr>
            </w:pPr>
            <w:r>
              <w:rPr>
                <w:rFonts w:ascii="Book Antiqua" w:eastAsia="Calibri" w:hAnsi="Book Antiqua" w:cs="Times New Roman"/>
              </w:rPr>
              <w:t>2024</w:t>
            </w:r>
            <w:r w:rsidR="00C46FF1" w:rsidRPr="00F17B4A">
              <w:rPr>
                <w:rFonts w:ascii="Book Antiqua" w:eastAsia="Calibri" w:hAnsi="Book Antiqua" w:cs="Times New Roman"/>
              </w:rPr>
              <w:t>/</w:t>
            </w:r>
            <w:r>
              <w:rPr>
                <w:rFonts w:ascii="Book Antiqua" w:eastAsia="Calibri" w:hAnsi="Book Antiqua" w:cs="Times New Roman"/>
              </w:rPr>
              <w:t>2025</w:t>
            </w: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20000</w:t>
            </w: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r w:rsidRPr="00F17B4A">
              <w:rPr>
                <w:rFonts w:ascii="Book Antiqua" w:eastAsia="Calibri" w:hAnsi="Book Antiqua" w:cs="Times New Roman"/>
              </w:rPr>
              <w:t>BB, OBSH</w:t>
            </w: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r w:rsidRPr="00F17B4A">
              <w:rPr>
                <w:rFonts w:ascii="Book Antiqua" w:hAnsi="Book Antiqua" w:cs="Times New Roman"/>
              </w:rPr>
              <w:t>Msh, IKSHPK</w:t>
            </w: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eastAsia="Calibri" w:hAnsi="Book Antiqua" w:cs="Times New Roman"/>
              </w:rPr>
            </w:pPr>
            <w:r w:rsidRPr="00F17B4A">
              <w:rPr>
                <w:rFonts w:ascii="Book Antiqua" w:eastAsia="Calibri" w:hAnsi="Book Antiqua" w:cs="Times New Roman"/>
              </w:rPr>
              <w:t>Databaza e unifikuar e të të dhënave  në IKSHPK dhe QRSHP</w:t>
            </w:r>
          </w:p>
        </w:tc>
      </w:tr>
      <w:tr w:rsidR="00C46FF1" w:rsidRPr="00F17B4A" w:rsidTr="00B03549">
        <w:trPr>
          <w:trHeight w:val="3407"/>
        </w:trPr>
        <w:tc>
          <w:tcPr>
            <w:tcW w:w="632" w:type="pct"/>
            <w:tcBorders>
              <w:left w:val="single" w:sz="4" w:space="0" w:color="auto"/>
              <w:right w:val="single" w:sz="4" w:space="0" w:color="auto"/>
            </w:tcBorders>
            <w:shd w:val="clear" w:color="auto" w:fill="C2D69B" w:themeFill="accent3" w:themeFillTint="99"/>
          </w:tcPr>
          <w:p w:rsidR="00C46FF1" w:rsidRPr="00E220FB" w:rsidRDefault="00C46FF1" w:rsidP="004C26B0">
            <w:pPr>
              <w:rPr>
                <w:rFonts w:ascii="Book Antiqua" w:hAnsi="Book Antiqua" w:cs="Times New Roman"/>
                <w:b/>
                <w:bCs/>
              </w:rPr>
            </w:pPr>
            <w:r w:rsidRPr="00E220FB">
              <w:rPr>
                <w:rFonts w:ascii="Book Antiqua" w:hAnsi="Book Antiqua" w:cs="Times New Roman"/>
                <w:b/>
                <w:bCs/>
              </w:rPr>
              <w:lastRenderedPageBreak/>
              <w:t xml:space="preserve">3.4. Shih Kapitullin 5 </w:t>
            </w:r>
            <w:r w:rsidRPr="00E220FB">
              <w:rPr>
                <w:rFonts w:ascii="Book Antiqua" w:hAnsi="Book Antiqua" w:cs="Times New Roman"/>
                <w:b/>
                <w:bCs/>
                <w:sz w:val="24"/>
                <w:szCs w:val="24"/>
              </w:rPr>
              <w:t xml:space="preserve"> për r</w:t>
            </w:r>
            <w:r w:rsidRPr="00E220FB">
              <w:rPr>
                <w:rFonts w:ascii="Book Antiqua" w:hAnsi="Book Antiqua" w:cs="Times New Roman"/>
                <w:b/>
                <w:bCs/>
              </w:rPr>
              <w:t>ekomandimet laboratorike që kërkohen për të mbështetur mbikëqyrjen</w:t>
            </w:r>
          </w:p>
        </w:tc>
        <w:tc>
          <w:tcPr>
            <w:tcW w:w="803" w:type="pct"/>
            <w:tcBorders>
              <w:top w:val="single" w:sz="4" w:space="0" w:color="auto"/>
              <w:left w:val="single" w:sz="4" w:space="0" w:color="auto"/>
              <w:bottom w:val="single" w:sz="4" w:space="0" w:color="auto"/>
              <w:right w:val="single" w:sz="4" w:space="0" w:color="auto"/>
            </w:tcBorders>
          </w:tcPr>
          <w:p w:rsidR="00C46FF1" w:rsidRPr="00E220FB" w:rsidRDefault="00C46FF1" w:rsidP="004C26B0">
            <w:pPr>
              <w:pStyle w:val="Default"/>
              <w:rPr>
                <w:rFonts w:ascii="Book Antiqua" w:hAnsi="Book Antiqua" w:cs="Times New Roman"/>
                <w:color w:val="auto"/>
                <w:sz w:val="22"/>
                <w:szCs w:val="22"/>
                <w:lang w:val="sq-AL"/>
              </w:rPr>
            </w:pPr>
            <w:r w:rsidRPr="00E220FB">
              <w:rPr>
                <w:rFonts w:ascii="Book Antiqua" w:hAnsi="Book Antiqua" w:cs="Times New Roman"/>
                <w:color w:val="auto"/>
                <w:sz w:val="22"/>
                <w:szCs w:val="22"/>
                <w:lang w:val="sq-AL"/>
              </w:rPr>
              <w:t>Shumica e rasteve të raportuara bazohen në vlerësimin klinik pa konfirmim laboratorik.</w:t>
            </w:r>
          </w:p>
          <w:p w:rsidR="00C46FF1" w:rsidRPr="00E220FB" w:rsidRDefault="00C46FF1" w:rsidP="004C26B0">
            <w:pPr>
              <w:spacing w:line="240" w:lineRule="auto"/>
              <w:contextualSpacing/>
              <w:rPr>
                <w:rFonts w:ascii="Book Antiqua" w:hAnsi="Book Antiqua" w:cs="Times New Roman"/>
              </w:rPr>
            </w:pPr>
            <w:r w:rsidRPr="00E220FB">
              <w:rPr>
                <w:rFonts w:ascii="Book Antiqua" w:hAnsi="Book Antiqua" w:cs="Times New Roman"/>
              </w:rPr>
              <w:t>Hulumtimi i epidemisë është i kufizuar për shkak të mungesës së kapaciteteve laboratorike</w:t>
            </w:r>
          </w:p>
          <w:p w:rsidR="00C46FF1" w:rsidRPr="00E220FB" w:rsidRDefault="00C46FF1" w:rsidP="004C26B0">
            <w:pPr>
              <w:contextualSpacing/>
              <w:rPr>
                <w:rFonts w:ascii="Book Antiqua" w:eastAsia="Calibri" w:hAnsi="Book Antiqua" w:cs="Times New Roman"/>
              </w:rPr>
            </w:pP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jc w:val="center"/>
              <w:rPr>
                <w:rFonts w:ascii="Book Antiqua" w:eastAsia="Calibri" w:hAnsi="Book Antiqua" w:cs="Times New Roman"/>
              </w:rPr>
            </w:pP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eastAsia="Calibri" w:hAnsi="Book Antiqua" w:cs="Times New Roman"/>
              </w:rPr>
            </w:pPr>
          </w:p>
        </w:tc>
      </w:tr>
      <w:tr w:rsidR="00C46FF1" w:rsidRPr="00F17B4A" w:rsidTr="00B03549">
        <w:trPr>
          <w:trHeight w:val="3407"/>
        </w:trPr>
        <w:tc>
          <w:tcPr>
            <w:tcW w:w="632" w:type="pct"/>
            <w:tcBorders>
              <w:left w:val="single" w:sz="4" w:space="0" w:color="auto"/>
              <w:bottom w:val="single" w:sz="4" w:space="0" w:color="auto"/>
              <w:right w:val="single" w:sz="4" w:space="0" w:color="auto"/>
            </w:tcBorders>
            <w:shd w:val="clear" w:color="auto" w:fill="C2D69B" w:themeFill="accent3" w:themeFillTint="99"/>
          </w:tcPr>
          <w:p w:rsidR="00C46FF1" w:rsidRPr="00E220FB" w:rsidRDefault="00C46FF1" w:rsidP="004C26B0">
            <w:pPr>
              <w:rPr>
                <w:rFonts w:ascii="Book Antiqua" w:hAnsi="Book Antiqua" w:cs="Times New Roman"/>
                <w:b/>
                <w:bCs/>
              </w:rPr>
            </w:pPr>
            <w:r w:rsidRPr="00E220FB">
              <w:rPr>
                <w:rFonts w:ascii="Book Antiqua" w:hAnsi="Book Antiqua" w:cs="Times New Roman"/>
                <w:b/>
                <w:bCs/>
              </w:rPr>
              <w:lastRenderedPageBreak/>
              <w:t xml:space="preserve">3.5.  Shih Kapitullin 2, </w:t>
            </w:r>
            <w:r w:rsidRPr="00E220FB">
              <w:rPr>
                <w:rFonts w:ascii="Book Antiqua" w:hAnsi="Book Antiqua" w:cs="Times New Roman"/>
                <w:b/>
                <w:bCs/>
                <w:sz w:val="24"/>
                <w:szCs w:val="24"/>
              </w:rPr>
              <w:t xml:space="preserve"> </w:t>
            </w:r>
            <w:r w:rsidRPr="00E220FB">
              <w:rPr>
                <w:rFonts w:ascii="Book Antiqua" w:hAnsi="Book Antiqua" w:cs="Times New Roman"/>
                <w:b/>
                <w:bCs/>
              </w:rPr>
              <w:t>Rekomandime për aktivitetet e trajnimit</w:t>
            </w:r>
          </w:p>
        </w:tc>
        <w:tc>
          <w:tcPr>
            <w:tcW w:w="803" w:type="pct"/>
            <w:tcBorders>
              <w:top w:val="single" w:sz="4" w:space="0" w:color="auto"/>
              <w:left w:val="single" w:sz="4" w:space="0" w:color="auto"/>
              <w:bottom w:val="single" w:sz="4" w:space="0" w:color="auto"/>
              <w:right w:val="single" w:sz="4" w:space="0" w:color="auto"/>
            </w:tcBorders>
          </w:tcPr>
          <w:p w:rsidR="00C46FF1" w:rsidRPr="00E220FB" w:rsidRDefault="00C46FF1" w:rsidP="004C26B0">
            <w:pPr>
              <w:pStyle w:val="Default"/>
              <w:rPr>
                <w:rFonts w:ascii="Book Antiqua" w:hAnsi="Book Antiqua"/>
                <w:color w:val="auto"/>
                <w:sz w:val="18"/>
                <w:szCs w:val="18"/>
                <w:lang w:val="sq-AL"/>
              </w:rPr>
            </w:pPr>
          </w:p>
          <w:p w:rsidR="00C46FF1" w:rsidRPr="00E220FB" w:rsidRDefault="00041227" w:rsidP="004C26B0">
            <w:pPr>
              <w:pStyle w:val="Default"/>
              <w:rPr>
                <w:rFonts w:ascii="Book Antiqua" w:hAnsi="Book Antiqua" w:cs="Times New Roman"/>
                <w:color w:val="auto"/>
                <w:sz w:val="22"/>
                <w:szCs w:val="22"/>
                <w:lang w:val="sq-AL"/>
              </w:rPr>
            </w:pPr>
            <w:r>
              <w:rPr>
                <w:rFonts w:ascii="Book Antiqua" w:hAnsi="Book Antiqua" w:cs="Times New Roman"/>
                <w:color w:val="auto"/>
                <w:sz w:val="22"/>
                <w:szCs w:val="22"/>
                <w:lang w:val="sq-AL"/>
              </w:rPr>
              <w:t>Krijimi i n</w:t>
            </w:r>
            <w:r w:rsidR="00C46FF1" w:rsidRPr="005D279B">
              <w:rPr>
                <w:rFonts w:ascii="Book Antiqua" w:hAnsi="Book Antiqua" w:cs="Times New Roman"/>
                <w:color w:val="auto"/>
                <w:sz w:val="22"/>
                <w:szCs w:val="22"/>
                <w:lang w:val="sq-AL"/>
              </w:rPr>
              <w:t>jë grup</w:t>
            </w:r>
            <w:r>
              <w:rPr>
                <w:rFonts w:ascii="Book Antiqua" w:hAnsi="Book Antiqua" w:cs="Times New Roman"/>
                <w:color w:val="auto"/>
                <w:sz w:val="22"/>
                <w:szCs w:val="22"/>
                <w:lang w:val="sq-AL"/>
              </w:rPr>
              <w:t>i te</w:t>
            </w:r>
            <w:r w:rsidR="00C46FF1" w:rsidRPr="005D279B">
              <w:rPr>
                <w:rFonts w:ascii="Book Antiqua" w:hAnsi="Book Antiqua" w:cs="Times New Roman"/>
                <w:color w:val="auto"/>
                <w:sz w:val="22"/>
                <w:szCs w:val="22"/>
                <w:lang w:val="sq-AL"/>
              </w:rPr>
              <w:t xml:space="preserve"> epidemiologë</w:t>
            </w:r>
            <w:r>
              <w:rPr>
                <w:rFonts w:ascii="Book Antiqua" w:hAnsi="Book Antiqua" w:cs="Times New Roman"/>
                <w:color w:val="auto"/>
                <w:sz w:val="22"/>
                <w:szCs w:val="22"/>
                <w:lang w:val="sq-AL"/>
              </w:rPr>
              <w:t xml:space="preserve">ve </w:t>
            </w:r>
            <w:r w:rsidR="00C46FF1" w:rsidRPr="005D279B">
              <w:rPr>
                <w:rFonts w:ascii="Book Antiqua" w:hAnsi="Book Antiqua" w:cs="Times New Roman"/>
                <w:color w:val="auto"/>
                <w:sz w:val="22"/>
                <w:szCs w:val="22"/>
                <w:lang w:val="sq-AL"/>
              </w:rPr>
              <w:t xml:space="preserve">të trajnuar mirë në nivel qendror dhe rajonal për të mbështetur aktivitetet  të mbikëqyrjes dhe </w:t>
            </w:r>
            <w:r w:rsidR="00C46FF1" w:rsidRPr="00AB112C">
              <w:rPr>
                <w:rFonts w:ascii="Book Antiqua" w:hAnsi="Book Antiqua" w:cs="Times New Roman"/>
                <w:color w:val="auto"/>
                <w:sz w:val="22"/>
                <w:szCs w:val="22"/>
                <w:lang w:val="sq-AL"/>
              </w:rPr>
              <w:t>përgjigjes në të ardhmen</w:t>
            </w:r>
          </w:p>
          <w:p w:rsidR="00C46FF1" w:rsidRPr="00E220FB" w:rsidRDefault="00C46FF1" w:rsidP="004C26B0">
            <w:pPr>
              <w:pStyle w:val="Default"/>
              <w:rPr>
                <w:rFonts w:ascii="Book Antiqua" w:hAnsi="Book Antiqua"/>
                <w:color w:val="auto"/>
                <w:lang w:val="sq-AL"/>
              </w:rPr>
            </w:pPr>
          </w:p>
          <w:p w:rsidR="00C46FF1" w:rsidRPr="00E220FB" w:rsidRDefault="00C46FF1" w:rsidP="004C26B0">
            <w:pPr>
              <w:pStyle w:val="Default"/>
              <w:rPr>
                <w:rFonts w:ascii="Book Antiqua" w:hAnsi="Book Antiqua"/>
                <w:color w:val="auto"/>
                <w:sz w:val="18"/>
                <w:szCs w:val="18"/>
                <w:lang w:val="sq-AL"/>
              </w:rPr>
            </w:pPr>
            <w:r w:rsidRPr="00E220FB">
              <w:rPr>
                <w:rFonts w:ascii="Book Antiqua" w:hAnsi="Book Antiqua"/>
                <w:color w:val="auto"/>
                <w:sz w:val="18"/>
                <w:szCs w:val="18"/>
                <w:lang w:val="sq-AL"/>
              </w:rPr>
              <w:t xml:space="preserve"> </w:t>
            </w:r>
          </w:p>
          <w:p w:rsidR="00C46FF1" w:rsidRPr="00E220FB" w:rsidRDefault="00C46FF1" w:rsidP="004C26B0">
            <w:pPr>
              <w:contextualSpacing/>
              <w:rPr>
                <w:rFonts w:ascii="Book Antiqua" w:eastAsia="Calibri" w:hAnsi="Book Antiqua" w:cs="Times New Roman"/>
              </w:rPr>
            </w:pPr>
          </w:p>
        </w:tc>
        <w:tc>
          <w:tcPr>
            <w:tcW w:w="41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jc w:val="center"/>
              <w:rPr>
                <w:rFonts w:ascii="Book Antiqua" w:eastAsia="Calibri" w:hAnsi="Book Antiqua" w:cs="Times New Roman"/>
              </w:rPr>
            </w:pPr>
          </w:p>
        </w:tc>
        <w:tc>
          <w:tcPr>
            <w:tcW w:w="341"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00"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08"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42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spacing w:after="0"/>
              <w:contextualSpacing/>
              <w:jc w:val="center"/>
              <w:rPr>
                <w:rFonts w:ascii="Book Antiqua" w:eastAsia="Calibri" w:hAnsi="Book Antiqua" w:cs="Times New Roman"/>
              </w:rPr>
            </w:pPr>
          </w:p>
        </w:tc>
        <w:tc>
          <w:tcPr>
            <w:tcW w:w="496"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389"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jc w:val="center"/>
              <w:rPr>
                <w:rFonts w:ascii="Book Antiqua" w:hAnsi="Book Antiqua" w:cs="Times New Roman"/>
              </w:rPr>
            </w:pPr>
          </w:p>
        </w:tc>
        <w:tc>
          <w:tcPr>
            <w:tcW w:w="784" w:type="pct"/>
            <w:tcBorders>
              <w:top w:val="single" w:sz="4" w:space="0" w:color="auto"/>
              <w:left w:val="single" w:sz="4" w:space="0" w:color="auto"/>
              <w:bottom w:val="single" w:sz="4" w:space="0" w:color="auto"/>
              <w:right w:val="single" w:sz="4" w:space="0" w:color="auto"/>
            </w:tcBorders>
          </w:tcPr>
          <w:p w:rsidR="00C46FF1" w:rsidRPr="00F17B4A" w:rsidRDefault="00C46FF1" w:rsidP="004C26B0">
            <w:pPr>
              <w:rPr>
                <w:rFonts w:ascii="Book Antiqua" w:eastAsia="Calibri" w:hAnsi="Book Antiqua" w:cs="Times New Roman"/>
              </w:rPr>
            </w:pPr>
          </w:p>
        </w:tc>
      </w:tr>
    </w:tbl>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4. GATISHMËRIA DHE REAGIMI</w:t>
      </w:r>
    </w:p>
    <w:p w:rsidR="00D85E80" w:rsidRPr="00F17B4A" w:rsidRDefault="00D85E80" w:rsidP="00BB4474">
      <w:pPr>
        <w:rPr>
          <w:rFonts w:ascii="Book Antiqua" w:hAnsi="Book Antiqua"/>
        </w:rPr>
      </w:pPr>
    </w:p>
    <w:tbl>
      <w:tblPr>
        <w:tblpPr w:leftFromText="180" w:rightFromText="180" w:vertAnchor="text" w:tblpXSpec="center" w:tblpY="1"/>
        <w:tblOverlap w:val="never"/>
        <w:tblW w:w="5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0"/>
        <w:gridCol w:w="2794"/>
        <w:gridCol w:w="983"/>
        <w:gridCol w:w="900"/>
        <w:gridCol w:w="900"/>
        <w:gridCol w:w="1004"/>
        <w:gridCol w:w="1448"/>
        <w:gridCol w:w="1350"/>
        <w:gridCol w:w="1301"/>
        <w:gridCol w:w="2091"/>
      </w:tblGrid>
      <w:tr w:rsidR="00D85E80" w:rsidRPr="00F17B4A" w:rsidTr="00D85E80">
        <w:trPr>
          <w:trHeight w:val="269"/>
        </w:trPr>
        <w:tc>
          <w:tcPr>
            <w:tcW w:w="5000" w:type="pct"/>
            <w:gridSpan w:val="10"/>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85E80" w:rsidRPr="00F17B4A" w:rsidRDefault="00D85E80" w:rsidP="00BB4474">
            <w:pPr>
              <w:rPr>
                <w:rFonts w:ascii="Book Antiqua" w:hAnsi="Book Antiqua"/>
              </w:rPr>
            </w:pPr>
            <w:r w:rsidRPr="00F17B4A">
              <w:rPr>
                <w:rFonts w:ascii="Book Antiqua" w:hAnsi="Book Antiqua"/>
              </w:rPr>
              <w:t>OBJEKTIVI STRATEGJIK – FUQIZIMI I SISTEMIT TË MBIKËQYRJES DHE KONTROLLIT TË SËMUNDJEVE NGJITËSE</w:t>
            </w:r>
          </w:p>
          <w:p w:rsidR="00D85E80" w:rsidRPr="00F17B4A" w:rsidRDefault="00D85E80" w:rsidP="00BB4474">
            <w:pPr>
              <w:rPr>
                <w:rFonts w:ascii="Book Antiqua" w:hAnsi="Book Antiqua"/>
              </w:rPr>
            </w:pPr>
          </w:p>
        </w:tc>
      </w:tr>
      <w:tr w:rsidR="00D85E80" w:rsidRPr="00F17B4A" w:rsidTr="00D85E80">
        <w:trPr>
          <w:trHeight w:val="269"/>
        </w:trPr>
        <w:tc>
          <w:tcPr>
            <w:tcW w:w="1741"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D85E80" w:rsidRPr="00E220FB" w:rsidRDefault="00D85E80" w:rsidP="00BB4474">
            <w:pPr>
              <w:rPr>
                <w:rFonts w:ascii="Book Antiqua" w:hAnsi="Book Antiqua"/>
              </w:rPr>
            </w:pPr>
            <w:r w:rsidRPr="00F17B4A">
              <w:rPr>
                <w:rFonts w:ascii="Book Antiqua" w:hAnsi="Book Antiqua"/>
              </w:rPr>
              <w:t xml:space="preserve">Objektivi specifik 1 –  </w:t>
            </w:r>
            <w:r w:rsidRPr="00830C90">
              <w:rPr>
                <w:rFonts w:ascii="Book Antiqua" w:hAnsi="Book Antiqua"/>
              </w:rPr>
              <w:t>Përgatitja dhe përgjigja</w:t>
            </w:r>
            <w:r w:rsidR="00830C90">
              <w:rPr>
                <w:rFonts w:ascii="Book Antiqua" w:hAnsi="Book Antiqua"/>
              </w:rPr>
              <w:t xml:space="preserve"> </w:t>
            </w:r>
            <w:r w:rsidR="00830C90" w:rsidRPr="00E220FB">
              <w:rPr>
                <w:rFonts w:ascii="Book Antiqua" w:hAnsi="Book Antiqua"/>
              </w:rPr>
              <w:t>ndaj sëmundjeve ngjitëse</w:t>
            </w:r>
          </w:p>
          <w:p w:rsidR="00D85E80" w:rsidRPr="00F17B4A" w:rsidRDefault="00D85E80" w:rsidP="00BB4474">
            <w:pPr>
              <w:rPr>
                <w:rFonts w:ascii="Book Antiqua" w:hAnsi="Book Antiqua"/>
              </w:rPr>
            </w:pPr>
          </w:p>
        </w:tc>
        <w:tc>
          <w:tcPr>
            <w:tcW w:w="1710" w:type="pct"/>
            <w:gridSpan w:val="5"/>
            <w:tcBorders>
              <w:top w:val="single" w:sz="4" w:space="0" w:color="auto"/>
              <w:left w:val="single" w:sz="4" w:space="0" w:color="auto"/>
              <w:bottom w:val="single" w:sz="4" w:space="0" w:color="auto"/>
              <w:right w:val="single" w:sz="4" w:space="0" w:color="auto"/>
            </w:tcBorders>
            <w:shd w:val="clear" w:color="auto" w:fill="E7E6E6"/>
            <w:vAlign w:val="center"/>
            <w:hideMark/>
          </w:tcPr>
          <w:p w:rsidR="00D85E80" w:rsidRPr="00830C90" w:rsidRDefault="00D85E80" w:rsidP="00BB4474">
            <w:pPr>
              <w:rPr>
                <w:rFonts w:ascii="Book Antiqua" w:hAnsi="Book Antiqua"/>
              </w:rPr>
            </w:pPr>
            <w:r w:rsidRPr="00830C90">
              <w:rPr>
                <w:rFonts w:ascii="Book Antiqua" w:hAnsi="Book Antiqua"/>
              </w:rPr>
              <w:t>Indikatori (-ët) për matjen e arritjes së objektivit</w:t>
            </w:r>
          </w:p>
        </w:tc>
        <w:tc>
          <w:tcPr>
            <w:tcW w:w="441"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D85E80" w:rsidRPr="00830C90" w:rsidRDefault="00D85E80" w:rsidP="00BB4474">
            <w:pPr>
              <w:rPr>
                <w:rFonts w:ascii="Book Antiqua" w:hAnsi="Book Antiqua"/>
              </w:rPr>
            </w:pPr>
            <w:r w:rsidRPr="00830C90">
              <w:rPr>
                <w:rFonts w:ascii="Book Antiqua" w:hAnsi="Book Antiqua"/>
              </w:rPr>
              <w:t>Baza 2021</w:t>
            </w:r>
          </w:p>
        </w:tc>
        <w:tc>
          <w:tcPr>
            <w:tcW w:w="425"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D85E80" w:rsidRPr="00830C90" w:rsidRDefault="00D85E80" w:rsidP="00BB4474">
            <w:pPr>
              <w:rPr>
                <w:rFonts w:ascii="Book Antiqua" w:hAnsi="Book Antiqua"/>
              </w:rPr>
            </w:pPr>
            <w:r w:rsidRPr="00830C90">
              <w:rPr>
                <w:rFonts w:ascii="Book Antiqua" w:hAnsi="Book Antiqua"/>
              </w:rPr>
              <w:t xml:space="preserve">Caku </w:t>
            </w:r>
            <w:r w:rsidR="00D8455B">
              <w:rPr>
                <w:rFonts w:ascii="Book Antiqua" w:hAnsi="Book Antiqua"/>
              </w:rPr>
              <w:t>2023</w:t>
            </w:r>
          </w:p>
        </w:tc>
        <w:tc>
          <w:tcPr>
            <w:tcW w:w="683" w:type="pct"/>
            <w:tcBorders>
              <w:top w:val="single" w:sz="4" w:space="0" w:color="auto"/>
              <w:left w:val="single" w:sz="4" w:space="0" w:color="auto"/>
              <w:bottom w:val="single" w:sz="4" w:space="0" w:color="auto"/>
              <w:right w:val="single" w:sz="4" w:space="0" w:color="auto"/>
            </w:tcBorders>
            <w:shd w:val="clear" w:color="auto" w:fill="E7E6E6"/>
            <w:vAlign w:val="center"/>
          </w:tcPr>
          <w:p w:rsidR="00D85E80" w:rsidRPr="00830C90" w:rsidRDefault="00D85E80" w:rsidP="00BB4474">
            <w:pPr>
              <w:rPr>
                <w:rFonts w:ascii="Book Antiqua" w:hAnsi="Book Antiqua"/>
              </w:rPr>
            </w:pPr>
          </w:p>
          <w:p w:rsidR="00D85E80" w:rsidRPr="00830C90" w:rsidRDefault="00D85E80" w:rsidP="00BB4474">
            <w:pPr>
              <w:rPr>
                <w:rFonts w:ascii="Book Antiqua" w:hAnsi="Book Antiqua"/>
              </w:rPr>
            </w:pPr>
            <w:r w:rsidRPr="00830C90">
              <w:rPr>
                <w:rFonts w:ascii="Book Antiqua" w:hAnsi="Book Antiqua"/>
              </w:rPr>
              <w:t xml:space="preserve">Caku </w:t>
            </w:r>
            <w:r w:rsidR="00D8455B">
              <w:rPr>
                <w:rFonts w:ascii="Book Antiqua" w:hAnsi="Book Antiqua"/>
              </w:rPr>
              <w:t>2025</w:t>
            </w:r>
          </w:p>
          <w:p w:rsidR="00D85E80" w:rsidRPr="00830C90" w:rsidRDefault="00D85E80" w:rsidP="00BB4474">
            <w:pPr>
              <w:rPr>
                <w:rFonts w:ascii="Book Antiqua" w:hAnsi="Book Antiqua"/>
              </w:rPr>
            </w:pPr>
          </w:p>
        </w:tc>
      </w:tr>
      <w:tr w:rsidR="00D85E80" w:rsidRPr="00F17B4A" w:rsidTr="00B03549">
        <w:trPr>
          <w:trHeight w:val="719"/>
        </w:trPr>
        <w:tc>
          <w:tcPr>
            <w:tcW w:w="829" w:type="pct"/>
            <w:vMerge w:val="restart"/>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Rekomandimi</w:t>
            </w:r>
          </w:p>
          <w:p w:rsidR="00D85E80" w:rsidRPr="00F17B4A" w:rsidRDefault="00D85E80" w:rsidP="00BB4474">
            <w:pPr>
              <w:rPr>
                <w:rFonts w:ascii="Book Antiqua" w:hAnsi="Book Antiqua"/>
              </w:rPr>
            </w:pPr>
            <w:r w:rsidRPr="00F17B4A">
              <w:rPr>
                <w:rFonts w:ascii="Book Antiqua" w:hAnsi="Book Antiqua"/>
              </w:rPr>
              <w:t>ECDC</w:t>
            </w:r>
          </w:p>
        </w:tc>
        <w:tc>
          <w:tcPr>
            <w:tcW w:w="912" w:type="pct"/>
            <w:vMerge w:val="restart"/>
            <w:tcBorders>
              <w:top w:val="single" w:sz="4" w:space="0" w:color="auto"/>
              <w:left w:val="single" w:sz="4" w:space="0" w:color="auto"/>
              <w:right w:val="single" w:sz="4" w:space="0" w:color="auto"/>
            </w:tcBorders>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Aktiviteti</w:t>
            </w:r>
          </w:p>
        </w:tc>
        <w:tc>
          <w:tcPr>
            <w:tcW w:w="1710" w:type="pct"/>
            <w:gridSpan w:val="5"/>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42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r>
      <w:tr w:rsidR="00D85E80" w:rsidRPr="00F17B4A" w:rsidTr="00B03549">
        <w:trPr>
          <w:trHeight w:val="530"/>
        </w:trPr>
        <w:tc>
          <w:tcPr>
            <w:tcW w:w="829" w:type="pct"/>
            <w:vMerge/>
            <w:tcBorders>
              <w:left w:val="single" w:sz="4" w:space="0" w:color="auto"/>
              <w:right w:val="single" w:sz="4" w:space="0" w:color="auto"/>
            </w:tcBorders>
            <w:shd w:val="clear" w:color="auto" w:fill="C2D69B" w:themeFill="accent3" w:themeFillTint="99"/>
            <w:vAlign w:val="center"/>
            <w:hideMark/>
          </w:tcPr>
          <w:p w:rsidR="00D85E80" w:rsidRPr="00F17B4A" w:rsidRDefault="00D85E80" w:rsidP="00BB4474">
            <w:pPr>
              <w:rPr>
                <w:rFonts w:ascii="Book Antiqua" w:hAnsi="Book Antiqua"/>
              </w:rPr>
            </w:pPr>
          </w:p>
        </w:tc>
        <w:tc>
          <w:tcPr>
            <w:tcW w:w="912" w:type="pct"/>
            <w:vMerge/>
            <w:tcBorders>
              <w:left w:val="single" w:sz="4" w:space="0" w:color="auto"/>
              <w:right w:val="single" w:sz="4" w:space="0" w:color="auto"/>
            </w:tcBorders>
          </w:tcPr>
          <w:p w:rsidR="00D85E80" w:rsidRPr="00F17B4A" w:rsidRDefault="00D85E80" w:rsidP="00BB4474">
            <w:pPr>
              <w:rPr>
                <w:rFonts w:ascii="Book Antiqua" w:hAnsi="Book Antiqua"/>
              </w:rPr>
            </w:pPr>
          </w:p>
        </w:tc>
        <w:tc>
          <w:tcPr>
            <w:tcW w:w="321" w:type="pct"/>
            <w:vMerge w:val="restart"/>
            <w:tcBorders>
              <w:top w:val="nil"/>
              <w:left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Afati i zbatimit</w:t>
            </w:r>
          </w:p>
        </w:tc>
        <w:tc>
          <w:tcPr>
            <w:tcW w:w="916" w:type="pct"/>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85E80" w:rsidRPr="00F17B4A" w:rsidRDefault="00D85E80" w:rsidP="00BB4474">
            <w:pPr>
              <w:rPr>
                <w:rFonts w:ascii="Book Antiqua" w:hAnsi="Book Antiqua"/>
              </w:rPr>
            </w:pPr>
            <w:r w:rsidRPr="00F17B4A">
              <w:rPr>
                <w:rFonts w:ascii="Book Antiqua" w:hAnsi="Book Antiqua"/>
              </w:rPr>
              <w:t>Kostoja totale</w:t>
            </w:r>
          </w:p>
        </w:tc>
        <w:tc>
          <w:tcPr>
            <w:tcW w:w="473" w:type="pct"/>
            <w:vMerge w:val="restart"/>
            <w:tcBorders>
              <w:top w:val="nil"/>
              <w:left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Burimi i financimit</w:t>
            </w:r>
          </w:p>
        </w:tc>
        <w:tc>
          <w:tcPr>
            <w:tcW w:w="441" w:type="pct"/>
            <w:vMerge w:val="restart"/>
            <w:tcBorders>
              <w:top w:val="single" w:sz="4" w:space="0" w:color="auto"/>
              <w:left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Institucioni</w:t>
            </w:r>
          </w:p>
          <w:p w:rsidR="00D85E80" w:rsidRPr="00F17B4A" w:rsidRDefault="00D85E80" w:rsidP="00BB4474">
            <w:pPr>
              <w:rPr>
                <w:rFonts w:ascii="Book Antiqua" w:hAnsi="Book Antiqua"/>
              </w:rPr>
            </w:pPr>
            <w:r w:rsidRPr="00F17B4A">
              <w:rPr>
                <w:rFonts w:ascii="Book Antiqua" w:hAnsi="Book Antiqua"/>
              </w:rPr>
              <w:t>udhëheqës</w:t>
            </w:r>
          </w:p>
        </w:tc>
        <w:tc>
          <w:tcPr>
            <w:tcW w:w="425" w:type="pct"/>
            <w:vMerge w:val="restart"/>
            <w:tcBorders>
              <w:top w:val="single" w:sz="4" w:space="0" w:color="auto"/>
              <w:left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Institucioni mbështetës</w:t>
            </w:r>
          </w:p>
        </w:tc>
        <w:tc>
          <w:tcPr>
            <w:tcW w:w="683" w:type="pct"/>
            <w:vMerge w:val="restart"/>
            <w:tcBorders>
              <w:top w:val="single" w:sz="4" w:space="0" w:color="auto"/>
              <w:left w:val="single" w:sz="4" w:space="0" w:color="auto"/>
              <w:right w:val="single" w:sz="4" w:space="0" w:color="auto"/>
            </w:tcBorders>
            <w:hideMark/>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Produkti</w:t>
            </w:r>
          </w:p>
        </w:tc>
      </w:tr>
      <w:tr w:rsidR="00D85E80" w:rsidRPr="00F17B4A" w:rsidTr="00B03549">
        <w:trPr>
          <w:trHeight w:val="503"/>
        </w:trPr>
        <w:tc>
          <w:tcPr>
            <w:tcW w:w="829" w:type="pct"/>
            <w:vMerge/>
            <w:tcBorders>
              <w:left w:val="single" w:sz="4" w:space="0" w:color="auto"/>
              <w:bottom w:val="single" w:sz="4" w:space="0" w:color="auto"/>
              <w:right w:val="single" w:sz="4" w:space="0" w:color="auto"/>
            </w:tcBorders>
            <w:shd w:val="clear" w:color="auto" w:fill="C2D69B" w:themeFill="accent3" w:themeFillTint="99"/>
            <w:vAlign w:val="center"/>
            <w:hideMark/>
          </w:tcPr>
          <w:p w:rsidR="00D85E80" w:rsidRPr="00F17B4A" w:rsidRDefault="00D85E80" w:rsidP="00BB4474">
            <w:pPr>
              <w:rPr>
                <w:rFonts w:ascii="Book Antiqua" w:hAnsi="Book Antiqua"/>
              </w:rPr>
            </w:pPr>
          </w:p>
        </w:tc>
        <w:tc>
          <w:tcPr>
            <w:tcW w:w="912" w:type="pct"/>
            <w:vMerge/>
            <w:tcBorders>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321"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0" w:rsidRPr="00F17B4A" w:rsidRDefault="00D85E80" w:rsidP="00BB4474">
            <w:pPr>
              <w:rPr>
                <w:rFonts w:ascii="Book Antiqua" w:hAnsi="Book Antiqua"/>
              </w:rPr>
            </w:pPr>
            <w:r w:rsidRPr="00F17B4A">
              <w:rPr>
                <w:rFonts w:ascii="Book Antiqua" w:hAnsi="Book Antiqua"/>
              </w:rPr>
              <w:t>Viti</w:t>
            </w:r>
          </w:p>
          <w:p w:rsidR="00D85E80" w:rsidRPr="00F17B4A" w:rsidRDefault="00D8455B" w:rsidP="00BB4474">
            <w:pPr>
              <w:rPr>
                <w:rFonts w:ascii="Book Antiqua" w:hAnsi="Book Antiqua"/>
              </w:rPr>
            </w:pPr>
            <w:r>
              <w:rPr>
                <w:rFonts w:ascii="Book Antiqua" w:hAnsi="Book Antiqua"/>
              </w:rPr>
              <w:t>2023</w:t>
            </w:r>
          </w:p>
        </w:tc>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0" w:rsidRPr="00F17B4A" w:rsidRDefault="00D85E80" w:rsidP="00BB4474">
            <w:pPr>
              <w:rPr>
                <w:rFonts w:ascii="Book Antiqua" w:hAnsi="Book Antiqua"/>
              </w:rPr>
            </w:pPr>
            <w:r w:rsidRPr="00F17B4A">
              <w:rPr>
                <w:rFonts w:ascii="Book Antiqua" w:hAnsi="Book Antiqua"/>
              </w:rPr>
              <w:t xml:space="preserve">Viti </w:t>
            </w:r>
            <w:r w:rsidR="00D8455B">
              <w:rPr>
                <w:rFonts w:ascii="Book Antiqua" w:hAnsi="Book Antiqua"/>
              </w:rPr>
              <w:t>2024</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0" w:rsidRPr="00F17B4A" w:rsidRDefault="00D85E80" w:rsidP="00BB4474">
            <w:pPr>
              <w:rPr>
                <w:rFonts w:ascii="Book Antiqua" w:hAnsi="Book Antiqua"/>
              </w:rPr>
            </w:pPr>
            <w:r w:rsidRPr="00F17B4A">
              <w:rPr>
                <w:rFonts w:ascii="Book Antiqua" w:hAnsi="Book Antiqua"/>
              </w:rPr>
              <w:t>Viti</w:t>
            </w:r>
          </w:p>
          <w:p w:rsidR="00D85E80" w:rsidRPr="00F17B4A" w:rsidRDefault="00D8455B" w:rsidP="00BB4474">
            <w:pPr>
              <w:rPr>
                <w:rFonts w:ascii="Book Antiqua" w:hAnsi="Book Antiqua"/>
              </w:rPr>
            </w:pPr>
            <w:r>
              <w:rPr>
                <w:rFonts w:ascii="Book Antiqua" w:hAnsi="Book Antiqua"/>
              </w:rPr>
              <w:t>2025</w:t>
            </w:r>
          </w:p>
        </w:tc>
        <w:tc>
          <w:tcPr>
            <w:tcW w:w="473"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441"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425"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683"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r>
      <w:tr w:rsidR="00D85E80" w:rsidRPr="00F17B4A" w:rsidTr="00B03549">
        <w:trPr>
          <w:trHeight w:val="170"/>
        </w:trPr>
        <w:tc>
          <w:tcPr>
            <w:tcW w:w="829" w:type="pct"/>
            <w:vMerge w:val="restart"/>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r w:rsidRPr="00F17B4A">
              <w:rPr>
                <w:rFonts w:ascii="Book Antiqua" w:hAnsi="Book Antiqua"/>
              </w:rPr>
              <w:t>4.1.1. Të forcohet planifikimi i gatishmërisë në sektorin e shëndetësisë dhe të alokohen burimet përkatëse.</w:t>
            </w:r>
          </w:p>
          <w:p w:rsidR="00D85E80" w:rsidRPr="00F17B4A" w:rsidRDefault="00D85E80" w:rsidP="00BB4474">
            <w:pPr>
              <w:rPr>
                <w:rFonts w:ascii="Book Antiqua" w:hAnsi="Book Antiqua"/>
              </w:rPr>
            </w:pPr>
            <w:r w:rsidRPr="00F17B4A">
              <w:rPr>
                <w:rFonts w:ascii="Book Antiqua" w:hAnsi="Book Antiqua"/>
              </w:rPr>
              <w:t xml:space="preserve">4.1.1. Strengthen preparedness planning in the health sector and </w:t>
            </w:r>
            <w:r w:rsidR="00D12C56">
              <w:rPr>
                <w:rFonts w:ascii="Book Antiqua" w:hAnsi="Book Antiqua"/>
              </w:rPr>
              <w:t>Fuqizimi i planifikimit te gatishmerise dhe alokimi i resurseve te nevojshme</w:t>
            </w:r>
            <w:r w:rsidRPr="00F17B4A">
              <w:rPr>
                <w:rFonts w:ascii="Book Antiqua" w:hAnsi="Book Antiqua"/>
              </w:rPr>
              <w:t xml:space="preserve"> </w:t>
            </w:r>
          </w:p>
          <w:p w:rsidR="00D85E80" w:rsidRPr="00F17B4A" w:rsidRDefault="00D85E80" w:rsidP="00BB4474">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 Ngritja e kapaciteteve per funksionim te Qendres Operative Emergjente në 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2.  Ngritja e kapaciteteve per funksionim te Qendres Operative Emergjente në IkShP</w:t>
            </w:r>
          </w:p>
          <w:p w:rsidR="00D85E80" w:rsidRPr="00F17B4A" w:rsidRDefault="00D85E80" w:rsidP="00BB4474">
            <w:pPr>
              <w:rPr>
                <w:rFonts w:ascii="Book Antiqua" w:hAnsi="Book Antiqua"/>
              </w:rPr>
            </w:pPr>
          </w:p>
        </w:tc>
        <w:tc>
          <w:tcPr>
            <w:tcW w:w="32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Q2</w:t>
            </w:r>
          </w:p>
        </w:tc>
        <w:tc>
          <w:tcPr>
            <w:tcW w:w="294"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15000</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15000</w:t>
            </w:r>
          </w:p>
          <w:p w:rsidR="00D85E80" w:rsidRPr="00F17B4A" w:rsidRDefault="00D85E80" w:rsidP="00BB4474">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15000</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15000</w:t>
            </w:r>
          </w:p>
        </w:tc>
        <w:tc>
          <w:tcPr>
            <w:tcW w:w="32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BK</w:t>
            </w:r>
          </w:p>
          <w:p w:rsidR="00D85E80" w:rsidRPr="00F17B4A" w:rsidRDefault="00D85E80" w:rsidP="00BB4474">
            <w:pPr>
              <w:rPr>
                <w:rFonts w:ascii="Book Antiqua" w:hAnsi="Book Antiqua"/>
              </w:rPr>
            </w:pPr>
            <w:r w:rsidRPr="00F17B4A">
              <w:rPr>
                <w:rFonts w:ascii="Book Antiqua" w:hAnsi="Book Antiqua"/>
              </w:rPr>
              <w:t>Donatoret</w:t>
            </w:r>
          </w:p>
          <w:p w:rsidR="00D85E80" w:rsidRPr="00F17B4A" w:rsidRDefault="00D85E80" w:rsidP="00BB4474">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MSh</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42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Qendrat Operative Emergjente funksionale në IKShP dhe MSh</w:t>
            </w:r>
          </w:p>
        </w:tc>
      </w:tr>
      <w:tr w:rsidR="00D85E80" w:rsidRPr="00F17B4A" w:rsidTr="00B03549">
        <w:trPr>
          <w:trHeight w:val="1990"/>
        </w:trPr>
        <w:tc>
          <w:tcPr>
            <w:tcW w:w="829" w:type="pct"/>
            <w:vMerge/>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3. Hartimi i Planit Operativ Emergjent në Shëndet Publik</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32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Q2-Q3</w:t>
            </w:r>
          </w:p>
        </w:tc>
        <w:tc>
          <w:tcPr>
            <w:tcW w:w="294"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5000</w:t>
            </w:r>
          </w:p>
        </w:tc>
        <w:tc>
          <w:tcPr>
            <w:tcW w:w="294"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BK; Donatorët OBSh</w:t>
            </w:r>
          </w:p>
        </w:tc>
        <w:tc>
          <w:tcPr>
            <w:tcW w:w="44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MSh </w:t>
            </w:r>
          </w:p>
        </w:tc>
        <w:tc>
          <w:tcPr>
            <w:tcW w:w="425"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IKShPK</w:t>
            </w:r>
          </w:p>
        </w:tc>
        <w:tc>
          <w:tcPr>
            <w:tcW w:w="68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POE për shëndet Publik i miratuar</w:t>
            </w:r>
          </w:p>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 xml:space="preserve">Udhëzimet dhe protokollet e miratuara për avancim të sistemit </w:t>
            </w:r>
            <w:r w:rsidRPr="00F17B4A">
              <w:rPr>
                <w:rFonts w:ascii="Book Antiqua" w:hAnsi="Book Antiqua"/>
              </w:rPr>
              <w:lastRenderedPageBreak/>
              <w:t>të mbikëqyrjes</w:t>
            </w:r>
          </w:p>
        </w:tc>
      </w:tr>
      <w:tr w:rsidR="00F15DF7" w:rsidRPr="00F17B4A" w:rsidTr="00B03549">
        <w:trPr>
          <w:trHeight w:val="872"/>
        </w:trPr>
        <w:tc>
          <w:tcPr>
            <w:tcW w:w="829" w:type="pct"/>
            <w:vMerge/>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r w:rsidRPr="00F15DF7">
              <w:rPr>
                <w:rFonts w:ascii="Book Antiqua" w:hAnsi="Book Antiqua"/>
                <w:lang w:val="sq-AL"/>
              </w:rPr>
              <w:t>Rishikimi i Funksionit Mbështetës Emergjent#8 i Planit të Reagimit Kombëtar</w:t>
            </w:r>
          </w:p>
        </w:tc>
        <w:tc>
          <w:tcPr>
            <w:tcW w:w="321"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r w:rsidRPr="00F15DF7">
              <w:rPr>
                <w:rFonts w:ascii="Book Antiqua" w:hAnsi="Book Antiqua"/>
              </w:rPr>
              <w:t>5000</w:t>
            </w:r>
          </w:p>
        </w:tc>
        <w:tc>
          <w:tcPr>
            <w:tcW w:w="328"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r w:rsidRPr="00F15DF7">
              <w:rPr>
                <w:rFonts w:ascii="Book Antiqua" w:hAnsi="Book Antiqua"/>
              </w:rPr>
              <w:t>BK</w:t>
            </w:r>
          </w:p>
          <w:p w:rsidR="00F15DF7" w:rsidRPr="00F15DF7" w:rsidRDefault="00F15DF7" w:rsidP="00F15DF7">
            <w:pPr>
              <w:rPr>
                <w:rFonts w:ascii="Book Antiqua" w:hAnsi="Book Antiqua"/>
              </w:rPr>
            </w:pPr>
            <w:r w:rsidRPr="00F15DF7">
              <w:rPr>
                <w:rFonts w:ascii="Book Antiqua" w:hAnsi="Book Antiqua"/>
              </w:rPr>
              <w:t>Donatoret</w:t>
            </w:r>
          </w:p>
          <w:p w:rsidR="00F15DF7" w:rsidRPr="00F15DF7" w:rsidRDefault="00F15DF7" w:rsidP="00F15DF7">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r w:rsidRPr="00F15DF7">
              <w:rPr>
                <w:rFonts w:ascii="Book Antiqua" w:hAnsi="Book Antiqua"/>
              </w:rPr>
              <w:t>MSh</w:t>
            </w:r>
          </w:p>
          <w:p w:rsidR="00F15DF7" w:rsidRPr="00F15DF7" w:rsidRDefault="00F15DF7" w:rsidP="00F15DF7">
            <w:pPr>
              <w:rPr>
                <w:rFonts w:ascii="Book Antiqua" w:hAnsi="Book Antiqua"/>
              </w:rPr>
            </w:pPr>
          </w:p>
        </w:tc>
        <w:tc>
          <w:tcPr>
            <w:tcW w:w="425"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r w:rsidRPr="00F15DF7">
              <w:rPr>
                <w:rFonts w:ascii="Book Antiqua" w:hAnsi="Book Antiqua"/>
              </w:rPr>
              <w:t>AME, IKShPK, ShSKUK, KPSh</w:t>
            </w:r>
          </w:p>
        </w:tc>
        <w:tc>
          <w:tcPr>
            <w:tcW w:w="683" w:type="pct"/>
            <w:tcBorders>
              <w:top w:val="single" w:sz="4" w:space="0" w:color="auto"/>
              <w:left w:val="single" w:sz="4" w:space="0" w:color="auto"/>
              <w:bottom w:val="single" w:sz="4" w:space="0" w:color="auto"/>
              <w:right w:val="single" w:sz="4" w:space="0" w:color="auto"/>
            </w:tcBorders>
          </w:tcPr>
          <w:p w:rsidR="00F15DF7" w:rsidRPr="00F15DF7" w:rsidRDefault="00F15DF7" w:rsidP="00F15DF7">
            <w:pPr>
              <w:rPr>
                <w:rFonts w:ascii="Book Antiqua" w:hAnsi="Book Antiqua"/>
              </w:rPr>
            </w:pPr>
            <w:r w:rsidRPr="00F15DF7">
              <w:rPr>
                <w:rFonts w:ascii="Book Antiqua" w:hAnsi="Book Antiqua"/>
              </w:rPr>
              <w:t>FME# 8 i aprovuar pas rishikimit</w:t>
            </w:r>
          </w:p>
        </w:tc>
      </w:tr>
      <w:tr w:rsidR="00F15DF7" w:rsidRPr="00F17B4A" w:rsidTr="00B03549">
        <w:trPr>
          <w:trHeight w:val="872"/>
        </w:trPr>
        <w:tc>
          <w:tcPr>
            <w:tcW w:w="829" w:type="pct"/>
            <w:vMerge/>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4. Përfshirja në KASh e burimeve financiare për gatishmeri dhe reagim në sektorin e shëndetësisë</w:t>
            </w:r>
          </w:p>
          <w:p w:rsidR="00F15DF7" w:rsidRPr="00F17B4A" w:rsidRDefault="00F15DF7" w:rsidP="00F15DF7">
            <w:pPr>
              <w:rPr>
                <w:rFonts w:ascii="Book Antiqua" w:hAnsi="Book Antiqua"/>
              </w:rPr>
            </w:pP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X</w:t>
            </w: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X</w:t>
            </w: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X</w:t>
            </w: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BK;</w:t>
            </w: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MSh</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Buxheti i planifikuar për gatishmëri dhe reagim</w:t>
            </w:r>
          </w:p>
        </w:tc>
      </w:tr>
      <w:tr w:rsidR="00F15DF7" w:rsidRPr="00F17B4A" w:rsidTr="00B03549">
        <w:trPr>
          <w:trHeight w:val="1511"/>
        </w:trPr>
        <w:tc>
          <w:tcPr>
            <w:tcW w:w="829" w:type="pct"/>
            <w:tcBorders>
              <w:left w:val="single" w:sz="4" w:space="0" w:color="auto"/>
              <w:right w:val="single" w:sz="4" w:space="0" w:color="auto"/>
            </w:tcBorders>
            <w:shd w:val="clear" w:color="auto" w:fill="C2D69B" w:themeFill="accent3" w:themeFillTint="99"/>
          </w:tcPr>
          <w:p w:rsidR="00F15DF7" w:rsidRPr="00B03549" w:rsidRDefault="00F15DF7" w:rsidP="00F15DF7">
            <w:pPr>
              <w:rPr>
                <w:rFonts w:ascii="Book Antiqua" w:hAnsi="Book Antiqua"/>
              </w:rPr>
            </w:pPr>
            <w:r>
              <w:rPr>
                <w:rFonts w:ascii="Book Antiqua" w:hAnsi="Book Antiqua"/>
              </w:rPr>
              <w:t>4.1.3.</w:t>
            </w:r>
            <w:r w:rsidRPr="00B03549">
              <w:rPr>
                <w:rFonts w:ascii="Book Antiqua" w:hAnsi="Book Antiqua"/>
              </w:rPr>
              <w:t xml:space="preserve"> </w:t>
            </w:r>
            <w:r>
              <w:rPr>
                <w:rFonts w:ascii="Book Antiqua" w:hAnsi="Book Antiqua"/>
              </w:rPr>
              <w:t>Sigurohuni qe komponenta e mesiperme te kete dokumente operacionale</w:t>
            </w:r>
          </w:p>
          <w:p w:rsidR="00F15DF7" w:rsidRPr="00B03549"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B03549" w:rsidRDefault="00F15DF7" w:rsidP="00F15DF7">
            <w:pPr>
              <w:rPr>
                <w:rFonts w:ascii="Book Antiqua" w:hAnsi="Book Antiqua"/>
              </w:rPr>
            </w:pPr>
            <w:r w:rsidRPr="00B03549">
              <w:rPr>
                <w:rFonts w:ascii="Book Antiqua" w:hAnsi="Book Antiqua"/>
              </w:rPr>
              <w:t>Identifikimi dhe hartimi i PSO për reagim në emergjenca të shëndetit publik.</w:t>
            </w: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Q4</w:t>
            </w: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Q1</w:t>
            </w: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BK;</w:t>
            </w:r>
          </w:p>
        </w:tc>
        <w:tc>
          <w:tcPr>
            <w:tcW w:w="441" w:type="pct"/>
            <w:tcBorders>
              <w:top w:val="single" w:sz="4" w:space="0" w:color="auto"/>
              <w:left w:val="single" w:sz="4" w:space="0" w:color="auto"/>
              <w:bottom w:val="single" w:sz="4" w:space="0" w:color="auto"/>
              <w:right w:val="single" w:sz="4" w:space="0" w:color="auto"/>
            </w:tcBorders>
          </w:tcPr>
          <w:p w:rsidR="00F15DF7" w:rsidRDefault="00F15DF7" w:rsidP="00F15DF7">
            <w:pPr>
              <w:rPr>
                <w:rFonts w:ascii="Book Antiqua" w:hAnsi="Book Antiqua"/>
              </w:rPr>
            </w:pPr>
            <w:r>
              <w:rPr>
                <w:rFonts w:ascii="Book Antiqua" w:hAnsi="Book Antiqua"/>
              </w:rPr>
              <w:t>IKShPK;</w:t>
            </w:r>
          </w:p>
          <w:p w:rsidR="00F15DF7" w:rsidRPr="00F17B4A" w:rsidRDefault="00F15DF7" w:rsidP="00F15DF7">
            <w:pPr>
              <w:rPr>
                <w:rFonts w:ascii="Book Antiqua" w:hAnsi="Book Antiqua"/>
              </w:rPr>
            </w:pPr>
            <w:r w:rsidRPr="00F17B4A">
              <w:rPr>
                <w:rFonts w:ascii="Book Antiqua" w:hAnsi="Book Antiqua"/>
              </w:rPr>
              <w:t>MSh</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Pr>
                <w:rFonts w:ascii="Book Antiqua" w:hAnsi="Book Antiqua"/>
              </w:rPr>
              <w:t>PSO e aprovuar</w:t>
            </w:r>
          </w:p>
        </w:tc>
      </w:tr>
      <w:tr w:rsidR="00F15DF7" w:rsidRPr="00F17B4A" w:rsidTr="00B03549">
        <w:trPr>
          <w:trHeight w:val="1511"/>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lastRenderedPageBreak/>
              <w:t xml:space="preserve">4.2.1. Të hartohet një Udherrefyes kombetar me përshkrime të sakta të aktiviteteve gjatë shpërthimit të epidemive </w:t>
            </w:r>
          </w:p>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Pr>
                <w:rFonts w:ascii="Book Antiqua" w:hAnsi="Book Antiqua"/>
              </w:rPr>
              <w:t>Hartimi i udhë</w:t>
            </w:r>
            <w:r w:rsidRPr="00F17B4A">
              <w:rPr>
                <w:rFonts w:ascii="Book Antiqua" w:hAnsi="Book Antiqua"/>
              </w:rPr>
              <w:t>zuesi</w:t>
            </w:r>
            <w:r>
              <w:rPr>
                <w:rFonts w:ascii="Book Antiqua" w:hAnsi="Book Antiqua"/>
              </w:rPr>
              <w:t>t k</w:t>
            </w:r>
            <w:r w:rsidRPr="00F17B4A">
              <w:rPr>
                <w:rFonts w:ascii="Book Antiqua" w:hAnsi="Book Antiqua"/>
              </w:rPr>
              <w:t>ombëtar për hulumtimin e kërc</w:t>
            </w:r>
            <w:r>
              <w:rPr>
                <w:rFonts w:ascii="Book Antiqua" w:hAnsi="Book Antiqua"/>
              </w:rPr>
              <w:t>ë</w:t>
            </w:r>
            <w:r w:rsidRPr="00F17B4A">
              <w:rPr>
                <w:rFonts w:ascii="Book Antiqua" w:hAnsi="Book Antiqua"/>
              </w:rPr>
              <w:t>nimeve dhe menaxhimin e  epidemive nga sëmundjeve ngjitëse</w:t>
            </w: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Q3</w:t>
            </w: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3000</w:t>
            </w: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MSh</w:t>
            </w:r>
          </w:p>
          <w:p w:rsidR="00F15DF7" w:rsidRPr="00F17B4A" w:rsidRDefault="00F15DF7" w:rsidP="00F15DF7">
            <w:pPr>
              <w:rPr>
                <w:rFonts w:ascii="Book Antiqua" w:hAnsi="Book Antiqua"/>
              </w:rPr>
            </w:pPr>
            <w:r w:rsidRPr="00F17B4A">
              <w:rPr>
                <w:rFonts w:ascii="Book Antiqua" w:hAnsi="Book Antiqua"/>
              </w:rPr>
              <w:t>Donatoret (OBSh)</w:t>
            </w: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 xml:space="preserve">MSh </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IKShP</w:t>
            </w:r>
          </w:p>
          <w:p w:rsidR="00F15DF7" w:rsidRPr="00F17B4A" w:rsidRDefault="00F15DF7" w:rsidP="00F15DF7">
            <w:pPr>
              <w:rPr>
                <w:rFonts w:ascii="Book Antiqua" w:hAnsi="Book Antiqua"/>
              </w:rPr>
            </w:pPr>
            <w:r w:rsidRPr="00F17B4A">
              <w:rPr>
                <w:rFonts w:ascii="Book Antiqua" w:hAnsi="Book Antiqua"/>
              </w:rPr>
              <w:t>AME</w:t>
            </w: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Udhëzuesi i miratuar</w:t>
            </w:r>
          </w:p>
        </w:tc>
      </w:tr>
      <w:tr w:rsidR="00F15DF7" w:rsidRPr="00F17B4A" w:rsidTr="00B03549">
        <w:trPr>
          <w:trHeight w:val="1511"/>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t>4.2.2. Të definohet shpërndarja e detyrave dhe përgjegjësive ndërmjet stafit në nivelin ancional, rajonal e komunal lidhur me zbulimin e epidemive dhe përgjigjen ndaj tyre</w:t>
            </w: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E220FB">
              <w:rPr>
                <w:rFonts w:ascii="Book Antiqua" w:hAnsi="Book Antiqua"/>
              </w:rPr>
              <w:t>Hartimi i udhëzuesit i njejti si ne 4.2.1</w:t>
            </w: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r>
      <w:tr w:rsidR="00F15DF7" w:rsidRPr="00F17B4A" w:rsidTr="00B03549">
        <w:trPr>
          <w:trHeight w:val="1511"/>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t xml:space="preserve">4.2.3. Të përgatiten materiali për trajnim dhe trajnoni stafin e shëndetit publik sipas nivelit (nacional, rajonal e komunal).  </w:t>
            </w:r>
          </w:p>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I. Krijimi i GP për:</w:t>
            </w:r>
          </w:p>
          <w:p w:rsidR="00F15DF7" w:rsidRPr="00F17B4A" w:rsidRDefault="00F15DF7" w:rsidP="00F15DF7">
            <w:pPr>
              <w:rPr>
                <w:rFonts w:ascii="Book Antiqua" w:hAnsi="Book Antiqua"/>
              </w:rPr>
            </w:pPr>
            <w:r w:rsidRPr="00F17B4A">
              <w:rPr>
                <w:rFonts w:ascii="Book Antiqua" w:hAnsi="Book Antiqua"/>
              </w:rPr>
              <w:t>1. Përgatitje të materialit për trajn</w:t>
            </w:r>
            <w:r>
              <w:rPr>
                <w:rFonts w:ascii="Book Antiqua" w:hAnsi="Book Antiqua"/>
              </w:rPr>
              <w:t>im për menaxhim të një epidemisë që mund të shfaqet</w:t>
            </w:r>
          </w:p>
          <w:p w:rsidR="00F15DF7" w:rsidRPr="00F17B4A" w:rsidRDefault="00F15DF7" w:rsidP="00F15DF7">
            <w:pPr>
              <w:rPr>
                <w:rFonts w:ascii="Book Antiqua" w:hAnsi="Book Antiqua"/>
              </w:rPr>
            </w:pPr>
            <w:r w:rsidRPr="00F17B4A">
              <w:rPr>
                <w:rFonts w:ascii="Book Antiqua" w:hAnsi="Book Antiqua"/>
              </w:rPr>
              <w:t xml:space="preserve">2. Trajnimi i punëtorëve shëndetësor (mjeket) </w:t>
            </w: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Q2-Q4</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10000</w:t>
            </w: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IKShP</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MSh, OBSh, ECDC</w:t>
            </w:r>
          </w:p>
        </w:tc>
        <w:tc>
          <w:tcPr>
            <w:tcW w:w="683" w:type="pct"/>
            <w:tcBorders>
              <w:top w:val="single" w:sz="4" w:space="0" w:color="auto"/>
              <w:left w:val="single" w:sz="4" w:space="0" w:color="auto"/>
              <w:bottom w:val="single" w:sz="4" w:space="0" w:color="auto"/>
              <w:right w:val="single" w:sz="4" w:space="0" w:color="auto"/>
            </w:tcBorders>
          </w:tcPr>
          <w:p w:rsidR="00F15DF7" w:rsidRDefault="00F15DF7" w:rsidP="00F15DF7">
            <w:pPr>
              <w:rPr>
                <w:rFonts w:ascii="Book Antiqua" w:hAnsi="Book Antiqua"/>
              </w:rPr>
            </w:pPr>
            <w:r>
              <w:rPr>
                <w:rFonts w:ascii="Book Antiqua" w:hAnsi="Book Antiqua"/>
              </w:rPr>
              <w:t>Materiali për trajnim i përgatitur;</w:t>
            </w:r>
          </w:p>
          <w:p w:rsidR="00F15DF7" w:rsidRPr="00F17B4A" w:rsidRDefault="00F15DF7" w:rsidP="00F15DF7">
            <w:pPr>
              <w:rPr>
                <w:rFonts w:ascii="Book Antiqua" w:hAnsi="Book Antiqua"/>
              </w:rPr>
            </w:pPr>
            <w:r>
              <w:rPr>
                <w:rFonts w:ascii="Book Antiqua" w:hAnsi="Book Antiqua"/>
              </w:rPr>
              <w:t>Trajnimi i realizuar</w:t>
            </w:r>
          </w:p>
        </w:tc>
      </w:tr>
      <w:tr w:rsidR="00F15DF7" w:rsidRPr="00F17B4A" w:rsidTr="00B03549">
        <w:trPr>
          <w:trHeight w:val="1511"/>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lastRenderedPageBreak/>
              <w:t>4.3.1. Zhvilloni ushtrime kombëtare të përshtatura për të rritur ndërgjegjësimin për rëndësinë e gatishmërisë emergjente.</w:t>
            </w: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I. Krijimi i GP për Përgatitje të;</w:t>
            </w:r>
          </w:p>
          <w:p w:rsidR="00F15DF7" w:rsidRPr="00F17B4A" w:rsidRDefault="00F15DF7" w:rsidP="00F15DF7">
            <w:pPr>
              <w:rPr>
                <w:rFonts w:ascii="Book Antiqua" w:hAnsi="Book Antiqua"/>
              </w:rPr>
            </w:pPr>
            <w:r w:rsidRPr="00F17B4A">
              <w:rPr>
                <w:rFonts w:ascii="Book Antiqua" w:hAnsi="Book Antiqua"/>
              </w:rPr>
              <w:t>1. Përgatitja e Skenarëve  për ushtrime në tavolinë dhe për ushtrim fushor</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Pr>
                <w:rFonts w:ascii="Book Antiqua" w:hAnsi="Book Antiqua"/>
              </w:rPr>
              <w:t>2.  Ushtrime në tavolinë 2</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3. Ushtrim Fushor 1</w:t>
            </w: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Q2-Q4</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Q3-Q4</w:t>
            </w: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10000</w:t>
            </w: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BK</w:t>
            </w:r>
          </w:p>
          <w:p w:rsidR="00F15DF7" w:rsidRPr="00F17B4A" w:rsidRDefault="00F15DF7" w:rsidP="00F15DF7">
            <w:pPr>
              <w:rPr>
                <w:rFonts w:ascii="Book Antiqua" w:hAnsi="Book Antiqua"/>
              </w:rPr>
            </w:pPr>
            <w:r w:rsidRPr="00F17B4A">
              <w:rPr>
                <w:rFonts w:ascii="Book Antiqua" w:hAnsi="Book Antiqua"/>
              </w:rPr>
              <w:t>Donatoret</w:t>
            </w: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MSh</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IKShP, ShSKUK, KPSh,  AME, ECDC, OBSh</w:t>
            </w: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Pr>
                <w:rFonts w:ascii="Book Antiqua" w:hAnsi="Book Antiqua"/>
              </w:rPr>
              <w:t>Realizimi i ushtrimeve fushore</w:t>
            </w:r>
          </w:p>
        </w:tc>
      </w:tr>
      <w:tr w:rsidR="00F15DF7" w:rsidRPr="00F17B4A" w:rsidTr="00B03549">
        <w:trPr>
          <w:trHeight w:val="1511"/>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t xml:space="preserve">4.3.2. Përdorni ushtrime për të testuar dhe trajnuar anekset dhe udhëzimet e reja. </w:t>
            </w:r>
          </w:p>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Ushtrime për</w:t>
            </w:r>
            <w:r>
              <w:rPr>
                <w:rFonts w:ascii="Book Antiqua" w:hAnsi="Book Antiqua"/>
              </w:rPr>
              <w:t xml:space="preserve"> testimin e planeve emergjente </w:t>
            </w:r>
          </w:p>
          <w:p w:rsidR="00F15DF7" w:rsidRPr="00F17B4A" w:rsidRDefault="00F15DF7" w:rsidP="00F15DF7">
            <w:pPr>
              <w:rPr>
                <w:rFonts w:ascii="Book Antiqua" w:hAnsi="Book Antiqua"/>
              </w:rPr>
            </w:pP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5000</w:t>
            </w: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BK</w:t>
            </w:r>
          </w:p>
          <w:p w:rsidR="00F15DF7" w:rsidRPr="00F17B4A" w:rsidRDefault="00F15DF7" w:rsidP="00F15DF7">
            <w:pPr>
              <w:rPr>
                <w:rFonts w:ascii="Book Antiqua" w:hAnsi="Book Antiqua"/>
              </w:rPr>
            </w:pPr>
            <w:r w:rsidRPr="00F17B4A">
              <w:rPr>
                <w:rFonts w:ascii="Book Antiqua" w:hAnsi="Book Antiqua"/>
              </w:rPr>
              <w:t>Donatoret</w:t>
            </w: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MSh</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AME, IKShP, KPSh Shërbimi spitalor</w:t>
            </w: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Pr>
                <w:rFonts w:ascii="Book Antiqua" w:hAnsi="Book Antiqua"/>
              </w:rPr>
              <w:t xml:space="preserve">Ushtrimet për </w:t>
            </w:r>
            <w:r w:rsidRPr="00F17B4A">
              <w:rPr>
                <w:rFonts w:ascii="Book Antiqua" w:hAnsi="Book Antiqua"/>
              </w:rPr>
              <w:t xml:space="preserve">FME-8 dhe plane tjera </w:t>
            </w:r>
            <w:r>
              <w:rPr>
                <w:rFonts w:ascii="Book Antiqua" w:hAnsi="Book Antiqua"/>
              </w:rPr>
              <w:t>sipas skenarëve të përgatitura të realizuara</w:t>
            </w:r>
          </w:p>
        </w:tc>
      </w:tr>
      <w:tr w:rsidR="00F15DF7" w:rsidRPr="00F17B4A" w:rsidTr="00B03549">
        <w:trPr>
          <w:trHeight w:val="4040"/>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lastRenderedPageBreak/>
              <w:t>4.3.3. Krijoni një procedurë për të rishikuar ngjarjet dhe shpërthimet reale emergjente për të analizuar nëse ato janë adresuar siç është planifikuar dhe nëse janë të nevojshme përmirësimi i procedurave dhe planeve.</w:t>
            </w:r>
          </w:p>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Hartimi i PSO:</w:t>
            </w:r>
          </w:p>
          <w:p w:rsidR="00F15DF7" w:rsidRPr="00F17B4A" w:rsidRDefault="00F15DF7" w:rsidP="00F15DF7">
            <w:pPr>
              <w:rPr>
                <w:rFonts w:ascii="Book Antiqua" w:hAnsi="Book Antiqua"/>
              </w:rPr>
            </w:pPr>
            <w:r w:rsidRPr="00F17B4A">
              <w:rPr>
                <w:rFonts w:ascii="Book Antiqua" w:hAnsi="Book Antiqua"/>
              </w:rPr>
              <w:t>1. PSO për analizen dhe rishikimin e mënyrës së menaxhimit të epidemisë</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 xml:space="preserve">2. Udhëzuesi apo PSO për rikthim në gjendjen normale pas epidemisë </w:t>
            </w:r>
          </w:p>
          <w:p w:rsidR="00F15DF7" w:rsidRPr="00F17B4A" w:rsidRDefault="00F15DF7" w:rsidP="00F15DF7">
            <w:pPr>
              <w:rPr>
                <w:rFonts w:ascii="Book Antiqua" w:hAnsi="Book Antiqua"/>
              </w:rPr>
            </w:pP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Q2</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Q3-Q4</w:t>
            </w: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2000</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2000</w:t>
            </w: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BK</w:t>
            </w:r>
          </w:p>
          <w:p w:rsidR="00F15DF7" w:rsidRPr="00F17B4A" w:rsidRDefault="00F15DF7" w:rsidP="00F15DF7">
            <w:pPr>
              <w:rPr>
                <w:rFonts w:ascii="Book Antiqua" w:hAnsi="Book Antiqua"/>
              </w:rPr>
            </w:pPr>
            <w:r w:rsidRPr="00F17B4A">
              <w:rPr>
                <w:rFonts w:ascii="Book Antiqua" w:hAnsi="Book Antiqua"/>
              </w:rPr>
              <w:t>Donatoret</w:t>
            </w: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MSh</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 xml:space="preserve">AME, </w:t>
            </w:r>
          </w:p>
          <w:p w:rsidR="00F15DF7" w:rsidRPr="00F17B4A" w:rsidRDefault="00F15DF7" w:rsidP="00F15DF7">
            <w:pPr>
              <w:rPr>
                <w:rFonts w:ascii="Book Antiqua" w:hAnsi="Book Antiqua"/>
              </w:rPr>
            </w:pPr>
            <w:r w:rsidRPr="00F17B4A">
              <w:rPr>
                <w:rFonts w:ascii="Book Antiqua" w:hAnsi="Book Antiqua"/>
              </w:rPr>
              <w:t>IKShP</w:t>
            </w:r>
          </w:p>
        </w:tc>
        <w:tc>
          <w:tcPr>
            <w:tcW w:w="683" w:type="pct"/>
            <w:tcBorders>
              <w:top w:val="single" w:sz="4" w:space="0" w:color="auto"/>
              <w:left w:val="single" w:sz="4" w:space="0" w:color="auto"/>
              <w:bottom w:val="single" w:sz="4" w:space="0" w:color="auto"/>
              <w:right w:val="single" w:sz="4" w:space="0" w:color="auto"/>
            </w:tcBorders>
          </w:tcPr>
          <w:p w:rsidR="00F15DF7" w:rsidRDefault="00F15DF7" w:rsidP="00F15DF7">
            <w:pPr>
              <w:rPr>
                <w:rFonts w:ascii="Book Antiqua" w:hAnsi="Book Antiqua"/>
              </w:rPr>
            </w:pPr>
            <w:r>
              <w:rPr>
                <w:rFonts w:ascii="Book Antiqua" w:hAnsi="Book Antiqua"/>
              </w:rPr>
              <w:t>PSO të aprovuara;</w:t>
            </w:r>
          </w:p>
          <w:p w:rsidR="00F15DF7" w:rsidRPr="00F17B4A" w:rsidRDefault="00F15DF7" w:rsidP="00F15DF7">
            <w:pPr>
              <w:rPr>
                <w:rFonts w:ascii="Book Antiqua" w:hAnsi="Book Antiqua"/>
              </w:rPr>
            </w:pPr>
            <w:r>
              <w:rPr>
                <w:rFonts w:ascii="Book Antiqua" w:hAnsi="Book Antiqua"/>
              </w:rPr>
              <w:t>Udhëzuesit e aprovuar</w:t>
            </w:r>
          </w:p>
        </w:tc>
      </w:tr>
      <w:tr w:rsidR="00F15DF7" w:rsidRPr="00F17B4A" w:rsidTr="00B03549">
        <w:trPr>
          <w:trHeight w:val="1610"/>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t xml:space="preserve">4.4.1. Siguroni resurset dhe sistem formal te alarmimit dhe reagimit 24/7 për sëmundjet ngjitëse në nivel nacional, me thirrje ne kujdestari </w:t>
            </w:r>
          </w:p>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E220FB" w:rsidRDefault="00F15DF7" w:rsidP="00F15DF7">
            <w:pPr>
              <w:rPr>
                <w:rFonts w:ascii="Book Antiqua" w:hAnsi="Book Antiqua"/>
              </w:rPr>
            </w:pPr>
            <w:r w:rsidRPr="00E220FB">
              <w:rPr>
                <w:rFonts w:ascii="Book Antiqua" w:hAnsi="Book Antiqua"/>
              </w:rPr>
              <w:t>IKShPK</w:t>
            </w: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SISh- MSh IKShP</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r>
      <w:tr w:rsidR="00F15DF7" w:rsidRPr="00F17B4A" w:rsidTr="00B03549">
        <w:trPr>
          <w:trHeight w:val="773"/>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t xml:space="preserve">4.4.2. Te sigurohet qasje adekuate e Kosoves në EWRS and EPIS. </w:t>
            </w:r>
          </w:p>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E220FB" w:rsidRDefault="00F15DF7" w:rsidP="00F15DF7">
            <w:pPr>
              <w:rPr>
                <w:rFonts w:ascii="Book Antiqua" w:hAnsi="Book Antiqua"/>
              </w:rPr>
            </w:pPr>
            <w:r w:rsidRPr="00E220FB">
              <w:rPr>
                <w:rFonts w:ascii="Book Antiqua" w:hAnsi="Book Antiqua"/>
              </w:rPr>
              <w:t>IKShPK</w:t>
            </w: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SISh- MSh IKShP</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r>
      <w:tr w:rsidR="00F15DF7" w:rsidRPr="00F17B4A" w:rsidTr="00B03549">
        <w:trPr>
          <w:trHeight w:val="953"/>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lastRenderedPageBreak/>
              <w:t>4.4.3. Të promovohet qasje ne sistemin e informimit të OBSH dhe trajnimit ne fushen e  IHR</w:t>
            </w:r>
          </w:p>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SISh- MSh IKShP</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r>
      <w:tr w:rsidR="00F15DF7" w:rsidRPr="00F17B4A" w:rsidTr="00B03549">
        <w:trPr>
          <w:trHeight w:val="1268"/>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t>4.5.1. Te hartohet nje plan nacional i komunikimit të rrezikut dhe ndarje të qartë të detyrave</w:t>
            </w:r>
          </w:p>
        </w:tc>
        <w:tc>
          <w:tcPr>
            <w:tcW w:w="912" w:type="pct"/>
            <w:tcBorders>
              <w:top w:val="single" w:sz="4" w:space="0" w:color="auto"/>
              <w:left w:val="single" w:sz="4" w:space="0" w:color="auto"/>
              <w:bottom w:val="single" w:sz="4" w:space="0" w:color="auto"/>
              <w:right w:val="single" w:sz="4" w:space="0" w:color="auto"/>
            </w:tcBorders>
          </w:tcPr>
          <w:p w:rsidR="00F15DF7" w:rsidRPr="005D279B" w:rsidRDefault="00F15DF7" w:rsidP="00F15DF7">
            <w:pPr>
              <w:rPr>
                <w:rFonts w:ascii="Book Antiqua" w:hAnsi="Book Antiqua"/>
              </w:rPr>
            </w:pPr>
            <w:r w:rsidRPr="005D279B">
              <w:rPr>
                <w:rFonts w:ascii="Book Antiqua" w:hAnsi="Book Antiqua"/>
              </w:rPr>
              <w:t>Hartimi i planit nacional të komunikimit</w:t>
            </w:r>
          </w:p>
        </w:tc>
        <w:tc>
          <w:tcPr>
            <w:tcW w:w="321" w:type="pct"/>
            <w:tcBorders>
              <w:top w:val="single" w:sz="4" w:space="0" w:color="auto"/>
              <w:left w:val="single" w:sz="4" w:space="0" w:color="auto"/>
              <w:bottom w:val="single" w:sz="4" w:space="0" w:color="auto"/>
              <w:right w:val="single" w:sz="4" w:space="0" w:color="auto"/>
            </w:tcBorders>
          </w:tcPr>
          <w:p w:rsidR="00F15DF7" w:rsidRPr="005D279B" w:rsidRDefault="00F15DF7" w:rsidP="00F15DF7">
            <w:pPr>
              <w:rPr>
                <w:rFonts w:ascii="Book Antiqua" w:hAnsi="Book Antiqua"/>
              </w:rPr>
            </w:pPr>
            <w:r>
              <w:rPr>
                <w:rFonts w:ascii="Book Antiqua" w:hAnsi="Book Antiqua"/>
              </w:rPr>
              <w:t>2024</w:t>
            </w: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Pr>
                <w:rFonts w:ascii="Book Antiqua" w:hAnsi="Book Antiqua"/>
              </w:rPr>
              <w:t>MSh; IKShPK</w:t>
            </w: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Pr>
                <w:rFonts w:ascii="Book Antiqua" w:hAnsi="Book Antiqua"/>
              </w:rPr>
              <w:t>Plani nacional i komunikimit i hartuar</w:t>
            </w:r>
          </w:p>
        </w:tc>
      </w:tr>
      <w:tr w:rsidR="00F15DF7" w:rsidRPr="00F17B4A" w:rsidTr="00B03549">
        <w:trPr>
          <w:trHeight w:val="890"/>
        </w:trPr>
        <w:tc>
          <w:tcPr>
            <w:tcW w:w="829" w:type="pct"/>
            <w:tcBorders>
              <w:left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r w:rsidRPr="00F17B4A">
              <w:rPr>
                <w:rFonts w:ascii="Book Antiqua" w:hAnsi="Book Antiqua"/>
              </w:rPr>
              <w:t xml:space="preserve">4.5.2. Të zbatohen aktivitetet përkatëse të trajnimit, perfshire trajnimin për gazetarë </w:t>
            </w:r>
          </w:p>
          <w:p w:rsidR="00F15DF7" w:rsidRPr="00F17B4A" w:rsidRDefault="00F15DF7" w:rsidP="00F15DF7">
            <w:pPr>
              <w:rPr>
                <w:rFonts w:ascii="Book Antiqua" w:hAnsi="Book Antiqua"/>
              </w:rPr>
            </w:pPr>
          </w:p>
        </w:tc>
        <w:tc>
          <w:tcPr>
            <w:tcW w:w="912"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Pr>
                <w:rFonts w:ascii="Book Antiqua" w:hAnsi="Book Antiqua"/>
              </w:rPr>
              <w:t>Realizimi i aktiviteteve nga plani i komunikimit</w:t>
            </w:r>
          </w:p>
        </w:tc>
        <w:tc>
          <w:tcPr>
            <w:tcW w:w="32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328"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7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425"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Pr>
                <w:rFonts w:ascii="Book Antiqua" w:hAnsi="Book Antiqua"/>
              </w:rPr>
              <w:t>Raporti i zbatimit të Planit i publikuar</w:t>
            </w:r>
          </w:p>
        </w:tc>
      </w:tr>
    </w:tbl>
    <w:p w:rsidR="00D85E80" w:rsidRDefault="00D85E80" w:rsidP="00BB4474">
      <w:pPr>
        <w:rPr>
          <w:rFonts w:ascii="Book Antiqua" w:hAnsi="Book Antiqua"/>
        </w:rPr>
      </w:pPr>
    </w:p>
    <w:p w:rsidR="00412F80" w:rsidRDefault="00412F80" w:rsidP="00BB4474">
      <w:pPr>
        <w:rPr>
          <w:rFonts w:ascii="Book Antiqua" w:hAnsi="Book Antiqua"/>
        </w:rPr>
      </w:pPr>
    </w:p>
    <w:p w:rsidR="00412F80" w:rsidRDefault="00412F80" w:rsidP="00BB4474">
      <w:pPr>
        <w:rPr>
          <w:rFonts w:ascii="Book Antiqua" w:hAnsi="Book Antiqua"/>
        </w:rPr>
      </w:pPr>
    </w:p>
    <w:p w:rsidR="00412F80" w:rsidRDefault="00412F80" w:rsidP="00BB4474">
      <w:pPr>
        <w:rPr>
          <w:rFonts w:ascii="Book Antiqua" w:hAnsi="Book Antiqua"/>
        </w:rPr>
      </w:pPr>
    </w:p>
    <w:p w:rsidR="00412F80" w:rsidRPr="00F17B4A" w:rsidRDefault="00412F80"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5.MIKROBIOLOGJIA</w:t>
      </w:r>
    </w:p>
    <w:tbl>
      <w:tblPr>
        <w:tblW w:w="5000" w:type="pct"/>
        <w:tblLook w:val="04A0" w:firstRow="1" w:lastRow="0" w:firstColumn="1" w:lastColumn="0" w:noHBand="0" w:noVBand="1"/>
      </w:tblPr>
      <w:tblGrid>
        <w:gridCol w:w="1696"/>
        <w:gridCol w:w="2287"/>
        <w:gridCol w:w="729"/>
        <w:gridCol w:w="844"/>
        <w:gridCol w:w="949"/>
        <w:gridCol w:w="949"/>
        <w:gridCol w:w="1444"/>
        <w:gridCol w:w="1243"/>
        <w:gridCol w:w="1229"/>
        <w:gridCol w:w="1806"/>
      </w:tblGrid>
      <w:tr w:rsidR="004F1A82" w:rsidRPr="00F17B4A" w:rsidTr="00B03549">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4F1A82" w:rsidRPr="00F17B4A" w:rsidRDefault="004F1A82" w:rsidP="00BB4474">
            <w:pPr>
              <w:rPr>
                <w:rFonts w:ascii="Book Antiqua" w:hAnsi="Book Antiqua"/>
              </w:rPr>
            </w:pPr>
            <w:r w:rsidRPr="00F17B4A">
              <w:rPr>
                <w:rFonts w:ascii="Book Antiqua" w:hAnsi="Book Antiqua"/>
              </w:rPr>
              <w:lastRenderedPageBreak/>
              <w:t xml:space="preserve">Objektivi Strategjik – Fuqizimi i sistemit të mbikëqyrjes dhe kontrollit të sëmundjeve ngjitëse </w:t>
            </w:r>
          </w:p>
        </w:tc>
      </w:tr>
      <w:tr w:rsidR="004F1A82" w:rsidRPr="00F17B4A" w:rsidTr="00B03549">
        <w:trPr>
          <w:trHeight w:val="930"/>
        </w:trPr>
        <w:tc>
          <w:tcPr>
            <w:tcW w:w="1497"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Objektivi specifik – Ngritja e kapaciteteve të laboratorëve mikrobiologjik në Kosovë</w:t>
            </w:r>
          </w:p>
        </w:tc>
        <w:tc>
          <w:tcPr>
            <w:tcW w:w="1893" w:type="pct"/>
            <w:gridSpan w:val="5"/>
            <w:tcBorders>
              <w:top w:val="single" w:sz="4" w:space="0" w:color="auto"/>
              <w:left w:val="nil"/>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Indikatori (-ët) për matjen e arritjes së objektivit</w:t>
            </w:r>
          </w:p>
        </w:tc>
        <w:tc>
          <w:tcPr>
            <w:tcW w:w="468" w:type="pct"/>
            <w:tcBorders>
              <w:top w:val="nil"/>
              <w:left w:val="nil"/>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Baza 2021</w:t>
            </w:r>
          </w:p>
        </w:tc>
        <w:tc>
          <w:tcPr>
            <w:tcW w:w="463" w:type="pct"/>
            <w:tcBorders>
              <w:top w:val="nil"/>
              <w:left w:val="nil"/>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 xml:space="preserve">Caku </w:t>
            </w:r>
            <w:r w:rsidR="00D8455B">
              <w:rPr>
                <w:rFonts w:ascii="Book Antiqua" w:hAnsi="Book Antiqua"/>
              </w:rPr>
              <w:t>2025</w:t>
            </w:r>
          </w:p>
        </w:tc>
        <w:tc>
          <w:tcPr>
            <w:tcW w:w="679" w:type="pct"/>
            <w:tcBorders>
              <w:top w:val="nil"/>
              <w:left w:val="nil"/>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Caku 2030</w:t>
            </w:r>
          </w:p>
        </w:tc>
      </w:tr>
      <w:tr w:rsidR="004F1A82" w:rsidRPr="00F17B4A" w:rsidTr="00B03549">
        <w:trPr>
          <w:trHeight w:val="5327"/>
        </w:trPr>
        <w:tc>
          <w:tcPr>
            <w:tcW w:w="638"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r w:rsidRPr="00F17B4A">
              <w:rPr>
                <w:rFonts w:ascii="Book Antiqua" w:hAnsi="Book Antiqua"/>
              </w:rPr>
              <w:t xml:space="preserve">Rekomandimi  i ECDC </w:t>
            </w:r>
          </w:p>
        </w:tc>
        <w:tc>
          <w:tcPr>
            <w:tcW w:w="859"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Aktiviteti</w:t>
            </w:r>
          </w:p>
        </w:tc>
        <w:tc>
          <w:tcPr>
            <w:tcW w:w="1893" w:type="pct"/>
            <w:gridSpan w:val="5"/>
            <w:tcBorders>
              <w:top w:val="single" w:sz="4" w:space="0" w:color="auto"/>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 Buxheti për shërbimet mikrobiologjike në Kosovë është katërfishuar                                                                                             2. Shërbimet e mikrobiologjisë ofrohen 24/7 në Kosovë;                         3. Udhëzuesit kosovar për diagnozë primare të sëmundjeve ngjitëse janë zhvilluar dhe implementohen;                                     4. Laboratorët mikrobiologjike në Kosovë të akredituara                          5. Testimi i ndjeshmërisë në antimikrobik të izolateve mikrobike kryhet sipas rekomandimeve të EUCAST-it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1. 200,000.00 €                       2. Orari i punës 6 orë në ditë, hënë-premte;             </w:t>
            </w:r>
          </w:p>
          <w:p w:rsidR="004F1A82" w:rsidRPr="00F17B4A" w:rsidRDefault="004F1A82" w:rsidP="00BB4474">
            <w:pPr>
              <w:rPr>
                <w:rFonts w:ascii="Book Antiqua" w:hAnsi="Book Antiqua"/>
              </w:rPr>
            </w:pPr>
            <w:r w:rsidRPr="00F17B4A">
              <w:rPr>
                <w:rFonts w:ascii="Book Antiqua" w:hAnsi="Book Antiqua"/>
              </w:rPr>
              <w:t xml:space="preserve">3. Nuk ka udhëzues të aprovuar për diagnozë primare të sëmundjeve ngjitëse                             4. Asnjë laboratorë mikrobiologjik nuk është i akredituar </w:t>
            </w:r>
            <w:r w:rsidRPr="00F17B4A">
              <w:rPr>
                <w:rFonts w:ascii="Book Antiqua" w:hAnsi="Book Antiqua"/>
              </w:rPr>
              <w:lastRenderedPageBreak/>
              <w:t xml:space="preserve">në Kosovë;    </w:t>
            </w:r>
          </w:p>
          <w:p w:rsidR="004F1A82" w:rsidRPr="00F17B4A" w:rsidRDefault="004F1A82" w:rsidP="00BB4474">
            <w:pPr>
              <w:rPr>
                <w:rFonts w:ascii="Book Antiqua" w:hAnsi="Book Antiqua"/>
              </w:rPr>
            </w:pPr>
            <w:r w:rsidRPr="00F17B4A">
              <w:rPr>
                <w:rFonts w:ascii="Book Antiqua" w:hAnsi="Book Antiqua"/>
              </w:rPr>
              <w:t>5. Mungesë e programit kombëtar për kontrollë të kualitetit për antibiogram</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lastRenderedPageBreak/>
              <w:t xml:space="preserve">1. 800,000.00 €                             2. Orari i punës 24/7;          </w:t>
            </w:r>
          </w:p>
          <w:p w:rsidR="00412F80" w:rsidRPr="00F17B4A" w:rsidRDefault="004F1A82" w:rsidP="00BB4474">
            <w:pPr>
              <w:rPr>
                <w:rFonts w:ascii="Book Antiqua" w:hAnsi="Book Antiqua"/>
              </w:rPr>
            </w:pPr>
            <w:r w:rsidRPr="00F17B4A">
              <w:rPr>
                <w:rFonts w:ascii="Book Antiqua" w:hAnsi="Book Antiqua"/>
              </w:rPr>
              <w:t>3. Udhëzuesit kosovar për diagnozë primare të sëmundjeve ngjitëse të aprovuar dhe implementohen;                    4. Laboratorët e mikrobiol</w:t>
            </w:r>
            <w:r w:rsidRPr="00F17B4A">
              <w:rPr>
                <w:rFonts w:ascii="Book Antiqua" w:hAnsi="Book Antiqua"/>
              </w:rPr>
              <w:lastRenderedPageBreak/>
              <w:t>ogjisë në IKSHPK të akredituar;                                     5. Testimi për ndjeshmëri në antimikrobik e izolateve mikrobike kryhet sipas rekomandimeve të EUCAST-it</w:t>
            </w:r>
          </w:p>
        </w:tc>
        <w:tc>
          <w:tcPr>
            <w:tcW w:w="679"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lastRenderedPageBreak/>
              <w:t> </w:t>
            </w:r>
          </w:p>
        </w:tc>
      </w:tr>
      <w:tr w:rsidR="004F1A82" w:rsidRPr="00F17B4A" w:rsidTr="00B03549">
        <w:trPr>
          <w:trHeight w:val="645"/>
        </w:trPr>
        <w:tc>
          <w:tcPr>
            <w:tcW w:w="638"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859"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276"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Afati i zbatimit</w:t>
            </w:r>
          </w:p>
        </w:tc>
        <w:tc>
          <w:tcPr>
            <w:tcW w:w="1074" w:type="pct"/>
            <w:gridSpan w:val="3"/>
            <w:tcBorders>
              <w:top w:val="single" w:sz="4" w:space="0" w:color="auto"/>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Kostoja totale</w:t>
            </w:r>
          </w:p>
        </w:tc>
        <w:tc>
          <w:tcPr>
            <w:tcW w:w="543"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Burimi i financimit</w:t>
            </w:r>
          </w:p>
        </w:tc>
        <w:tc>
          <w:tcPr>
            <w:tcW w:w="468"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Institucioni udhëheqës</w:t>
            </w:r>
          </w:p>
        </w:tc>
        <w:tc>
          <w:tcPr>
            <w:tcW w:w="463"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Institucioni mbështetës</w:t>
            </w:r>
          </w:p>
        </w:tc>
        <w:tc>
          <w:tcPr>
            <w:tcW w:w="679"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Produkti</w:t>
            </w:r>
          </w:p>
        </w:tc>
      </w:tr>
      <w:tr w:rsidR="004F1A82" w:rsidRPr="00F17B4A" w:rsidTr="00B03549">
        <w:trPr>
          <w:trHeight w:val="675"/>
        </w:trPr>
        <w:tc>
          <w:tcPr>
            <w:tcW w:w="638"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859"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276"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358" w:type="pct"/>
            <w:tcBorders>
              <w:top w:val="nil"/>
              <w:left w:val="nil"/>
              <w:bottom w:val="single" w:sz="4" w:space="0" w:color="auto"/>
              <w:right w:val="single" w:sz="4" w:space="0" w:color="auto"/>
            </w:tcBorders>
            <w:shd w:val="clear" w:color="auto" w:fill="F2F2F2"/>
            <w:vAlign w:val="center"/>
            <w:hideMark/>
          </w:tcPr>
          <w:p w:rsidR="004F1A82" w:rsidRPr="00F17B4A" w:rsidRDefault="004F1A82" w:rsidP="00BB4474">
            <w:pPr>
              <w:rPr>
                <w:rFonts w:ascii="Book Antiqua" w:hAnsi="Book Antiqua"/>
              </w:rPr>
            </w:pPr>
            <w:r w:rsidRPr="00F17B4A">
              <w:rPr>
                <w:rFonts w:ascii="Book Antiqua" w:hAnsi="Book Antiqua"/>
              </w:rPr>
              <w:t>Viti</w:t>
            </w:r>
          </w:p>
        </w:tc>
        <w:tc>
          <w:tcPr>
            <w:tcW w:w="358" w:type="pct"/>
            <w:tcBorders>
              <w:top w:val="nil"/>
              <w:left w:val="nil"/>
              <w:bottom w:val="single" w:sz="4" w:space="0" w:color="auto"/>
              <w:right w:val="single" w:sz="4" w:space="0" w:color="auto"/>
            </w:tcBorders>
            <w:shd w:val="clear" w:color="auto" w:fill="F2F2F2"/>
            <w:vAlign w:val="center"/>
            <w:hideMark/>
          </w:tcPr>
          <w:p w:rsidR="004F1A82" w:rsidRPr="00F17B4A" w:rsidRDefault="004F1A82" w:rsidP="00BB4474">
            <w:pPr>
              <w:rPr>
                <w:rFonts w:ascii="Book Antiqua" w:hAnsi="Book Antiqua"/>
              </w:rPr>
            </w:pPr>
            <w:r w:rsidRPr="00F17B4A">
              <w:rPr>
                <w:rFonts w:ascii="Book Antiqua" w:hAnsi="Book Antiqua"/>
              </w:rPr>
              <w:t xml:space="preserve">Viti </w:t>
            </w:r>
          </w:p>
        </w:tc>
        <w:tc>
          <w:tcPr>
            <w:tcW w:w="358" w:type="pct"/>
            <w:tcBorders>
              <w:top w:val="nil"/>
              <w:left w:val="nil"/>
              <w:bottom w:val="single" w:sz="4" w:space="0" w:color="auto"/>
              <w:right w:val="single" w:sz="4" w:space="0" w:color="auto"/>
            </w:tcBorders>
            <w:shd w:val="clear" w:color="auto" w:fill="F2F2F2"/>
            <w:vAlign w:val="center"/>
            <w:hideMark/>
          </w:tcPr>
          <w:p w:rsidR="004F1A82" w:rsidRPr="00F17B4A" w:rsidRDefault="004F1A82" w:rsidP="00BB4474">
            <w:pPr>
              <w:rPr>
                <w:rFonts w:ascii="Book Antiqua" w:hAnsi="Book Antiqua"/>
              </w:rPr>
            </w:pPr>
            <w:r w:rsidRPr="00F17B4A">
              <w:rPr>
                <w:rFonts w:ascii="Book Antiqua" w:hAnsi="Book Antiqua"/>
              </w:rPr>
              <w:t>Viti</w:t>
            </w:r>
          </w:p>
        </w:tc>
        <w:tc>
          <w:tcPr>
            <w:tcW w:w="543"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468"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463"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679"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r>
      <w:tr w:rsidR="004F1A82" w:rsidRPr="00F17B4A" w:rsidTr="00B03549">
        <w:trPr>
          <w:trHeight w:val="975"/>
        </w:trPr>
        <w:tc>
          <w:tcPr>
            <w:tcW w:w="638"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859"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276"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358" w:type="pct"/>
            <w:tcBorders>
              <w:top w:val="nil"/>
              <w:left w:val="nil"/>
              <w:bottom w:val="single" w:sz="4" w:space="0" w:color="auto"/>
              <w:right w:val="single" w:sz="4" w:space="0" w:color="auto"/>
            </w:tcBorders>
            <w:shd w:val="clear" w:color="auto" w:fill="F2F2F2"/>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shd w:val="clear" w:color="auto" w:fill="F2F2F2"/>
            <w:vAlign w:val="center"/>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nil"/>
              <w:left w:val="nil"/>
              <w:bottom w:val="single" w:sz="4" w:space="0" w:color="auto"/>
              <w:right w:val="single" w:sz="4" w:space="0" w:color="auto"/>
            </w:tcBorders>
            <w:shd w:val="clear" w:color="auto" w:fill="F2F2F2"/>
            <w:vAlign w:val="center"/>
            <w:hideMark/>
          </w:tcPr>
          <w:p w:rsidR="004F1A82" w:rsidRPr="00F17B4A" w:rsidRDefault="00D8455B" w:rsidP="00BB4474">
            <w:pPr>
              <w:rPr>
                <w:rFonts w:ascii="Book Antiqua" w:hAnsi="Book Antiqua"/>
              </w:rPr>
            </w:pPr>
            <w:r>
              <w:rPr>
                <w:rFonts w:ascii="Book Antiqua" w:hAnsi="Book Antiqua"/>
              </w:rPr>
              <w:t>2025</w:t>
            </w:r>
          </w:p>
        </w:tc>
        <w:tc>
          <w:tcPr>
            <w:tcW w:w="543"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468"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463"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679" w:type="pct"/>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r>
      <w:tr w:rsidR="004F1A82" w:rsidRPr="00F17B4A" w:rsidTr="00B03549">
        <w:trPr>
          <w:trHeight w:val="386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5.1.1. Të bëhet rishikim themelor i rrjetit të laboratorëve të shëndetit publik, duke i kushtuar vëmendje të veçantë krijimit të qasjes së mirë të klinicistëve në një varg diagnostikash primare të mikrobiologjisë, duke përdorur metoda bashkëkohore dhe me cilësi të verifikueshme.</w:t>
            </w:r>
          </w:p>
        </w:tc>
        <w:tc>
          <w:tcPr>
            <w:tcW w:w="859" w:type="pct"/>
            <w:hideMark/>
          </w:tcPr>
          <w:p w:rsidR="004F1A82" w:rsidRPr="00F17B4A" w:rsidRDefault="004F1A82" w:rsidP="00BB4474">
            <w:pPr>
              <w:rPr>
                <w:rFonts w:ascii="Book Antiqua" w:hAnsi="Book Antiqua"/>
              </w:rPr>
            </w:pPr>
            <w:r w:rsidRPr="00F17B4A">
              <w:rPr>
                <w:rFonts w:ascii="Book Antiqua" w:hAnsi="Book Antiqua"/>
              </w:rPr>
              <w:t>5.1.1.1. Ngritja e kapaciteteve humane në laboratoret mikrobiologjike të IKSHPK-së dhe QSHP përmes punësimit të Mikrobiologëve, laborantëve si dhe asistentëve administrativ për të ofruar shërbime mikrobiologjike 24/7;</w:t>
            </w:r>
          </w:p>
        </w:tc>
        <w:tc>
          <w:tcPr>
            <w:tcW w:w="276" w:type="pct"/>
            <w:tcBorders>
              <w:top w:val="nil"/>
              <w:left w:val="single" w:sz="4" w:space="0" w:color="auto"/>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328,800.00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345,200.00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362,460.00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IKSHPK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Punësimi i 2 specialistave të mikrobiologjisë në vitin </w:t>
            </w:r>
            <w:r w:rsidR="00D8455B">
              <w:rPr>
                <w:rFonts w:ascii="Book Antiqua" w:hAnsi="Book Antiqua"/>
              </w:rPr>
              <w:t>2023</w:t>
            </w:r>
            <w:r w:rsidRPr="00F17B4A">
              <w:rPr>
                <w:rFonts w:ascii="Book Antiqua" w:hAnsi="Book Antiqua"/>
              </w:rPr>
              <w:t xml:space="preserve">; Punësimi i 40 laborantëve dhe 15 asistentëve administrative në laboratorët mikrobiologjike të IKSHPK/QSHP-së </w:t>
            </w:r>
          </w:p>
        </w:tc>
      </w:tr>
      <w:tr w:rsidR="004F1A82" w:rsidRPr="00F17B4A" w:rsidTr="00B03549">
        <w:trPr>
          <w:trHeight w:val="3672"/>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single" w:sz="4" w:space="0" w:color="auto"/>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5.1.1.2. Ngritja e buxhetit të për mallëra dhe shërbime për laboratorët mikrobiologjike në IKSHPK/QSHP</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400,000.00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600,000.00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800,000.00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IKSHPK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Katërfishimi i buxhetit për mallëra dhe shërbime për laboratorët mikrobiologjik të IKSHPK/QSHP nga buxheti aktuale që është rreth 200,000.00 </w:t>
            </w:r>
          </w:p>
        </w:tc>
      </w:tr>
      <w:tr w:rsidR="004F1A82" w:rsidRPr="00F17B4A" w:rsidTr="00B03549">
        <w:trPr>
          <w:trHeight w:val="6936"/>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5.1.1.3. Blerja e aparaturës për laboratorët mikrobiologjik të IKSHPK/QSHP-së </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650,000.00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800,000.00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IKSHPK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Blerja e 4 aparateve për identifikim automatik të baktereve; 6 inkubatorëve me CO2; 12 inkubatorë; 6 autokllavave; 12 sterilizatorëve; 12 frigoriferave laboratorik; 6 aparateve për ELISA; 6 mikroskopa fluoroshentë; 6 Malditof; 6 sisteme POC Real Time PCR me punë bazuar në film-array;</w:t>
            </w:r>
          </w:p>
        </w:tc>
      </w:tr>
      <w:tr w:rsidR="004F1A82" w:rsidRPr="00F17B4A" w:rsidTr="00B03549">
        <w:trPr>
          <w:trHeight w:val="350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5.1.1.4. Lidhja e marrëveshjeve bashkëpunuese ndërmjet IKSHPK/QSHP me QKUK dhe Spitalet e përgjithshme në të gjitha rajonet e Kosovës për ofrim të shërbimeve mikrobiologjike 24/7  </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IKSHPK/QSHP, SHSKUK,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Marrveshjet e nënshkruara ndërmjet IKSHPK/QSHP dhe SHSKUK/Spitaleve të përgjithshme në secilin rajon të Kosovës për të formalizuar ofrimin e shërbimeve mikrobiologjike;</w:t>
            </w:r>
          </w:p>
        </w:tc>
      </w:tr>
      <w:tr w:rsidR="004F1A82" w:rsidRPr="00F17B4A" w:rsidTr="00B03549">
        <w:trPr>
          <w:trHeight w:val="3264"/>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5.1.1.5. Themelimi i laboratorëve të mikrobiologjisë klinike në QKUK dhe Spitalet e përgjithshme në të gjitha rajonet e Kosovës</w:t>
            </w:r>
          </w:p>
        </w:tc>
        <w:tc>
          <w:tcPr>
            <w:tcW w:w="276"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pas vitit 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SHSKUK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IKSHPK, MSH,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Laboratoret e Mikrobiologjisë klinike në QKUK dhe në gjashtë spitalet e përgjithshme janë themeluar </w:t>
            </w:r>
          </w:p>
        </w:tc>
      </w:tr>
      <w:tr w:rsidR="004F1A82" w:rsidRPr="00F17B4A" w:rsidTr="00B03549">
        <w:trPr>
          <w:trHeight w:val="3293"/>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5.1.2. Të bëhet rishikim kritik i financimit të nevojshëm për një sistem të qëndrueshëm të shëndetit publik dhe laboratorëve të diagnostikimit klinik.</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5.1.2.1. Studim lidhur me nevojat buxhetore të laboratorëve mikrobiologjik në sektorin publik për ofrim të shërbimeve mikrobiologjike të shëndetit publik si dhe të mikrobiologjisë klinike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 Fondi i Sigurimeve Shëndetësore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Studimi i kryer për nevojat buxhetore të laboratoreve mikrobiologjike publike të Kosovës dhe inkorporimi i nevojave financiare në buxhetin e SHSKUK-se (QKUK/SP) si dhe të IKSHPK-së</w:t>
            </w:r>
          </w:p>
        </w:tc>
      </w:tr>
      <w:tr w:rsidR="004F1A82" w:rsidRPr="00F17B4A" w:rsidTr="00B03549">
        <w:trPr>
          <w:trHeight w:val="1632"/>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5.1.3. Të zgjatet orari i punës i laboratorëve për të mbështetur punën klinike të spitaleve.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E theksuar në pikën 5.1.1.2. </w:t>
            </w:r>
          </w:p>
        </w:tc>
        <w:tc>
          <w:tcPr>
            <w:tcW w:w="276"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w:t>
            </w:r>
          </w:p>
        </w:tc>
      </w:tr>
      <w:tr w:rsidR="004F1A82" w:rsidRPr="00F17B4A" w:rsidTr="00B03549">
        <w:trPr>
          <w:trHeight w:val="6936"/>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5.2.1. Të rishikohen dispozitat për diagnozën primare dhe karakterizimet e mëtejshme të të gjitha sëmundjeve që kërkohen të jenë në mënyrë progresive nën mbikëqyrje brenda BE-së dhe për prioritetet kombëtare të sëmundjeve ngjitëse.</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5.2.1.1. Zhvillimi i udhëzuesve Kosovar për diagnozë primare laboratorike mikrobiologjike si dhe karakterizim të mëtutjeshëm të të gjitha sëmundjeve ngjitësë që janë pjesë e sistemit të mbikqyrjës në Kosovë (e cila është ekvivalente me BE) si dhe atyre sëmundjeve ngjitëse që janë prioritet kombëtar</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Është përpiluar udhëzuesi për diagnozë primare laboratorike mikrobiologjike si dhe për karakterizim të mëtutjeshëm për sëmundjet ngjitësë në Kosovë </w:t>
            </w:r>
          </w:p>
        </w:tc>
      </w:tr>
      <w:tr w:rsidR="004F1A82" w:rsidRPr="00F17B4A" w:rsidTr="00B03549">
        <w:trPr>
          <w:trHeight w:val="323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5.2.2.Të formalizohen aranzhimet kontingjente për transferimin ndërkombëtar të mostrave /izolatave për diagnozë/karakterizim, ku shteti nuk e siguron këtë në vend.</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5.2.2.1. Lidhja e marrëveshjeve për bashkëpunim (përfshirë edhe ato kontraktuale) me laboratoret bashkëpunuese jashtë Kosovës për dërgim si dhe dërgimi i mostrave mikrobiologjike për qëllime të diagnozës/karakterizimit</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IKSHPK, SHSKUK, Shoqata e  Mikrobiologjisë së Kosovës;</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Marrveshjet me laboratoret përkatëse të arritura dhe mostrat mikrobiologjike të dërguara jashtë Kosovës për qëllime të diagnozës/karakterizimit të mëtutjeshëm</w:t>
            </w:r>
          </w:p>
        </w:tc>
      </w:tr>
      <w:tr w:rsidR="004F1A82" w:rsidRPr="00F17B4A" w:rsidTr="00B03549">
        <w:trPr>
          <w:trHeight w:val="296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5.2.2.2. Lidhja e kontratës kornizë me operatorin/ët ekonomik për transport të mostrave për egzaminime mikrobiologjike në laboratorët mikrobiologjik jashtë Kosovës</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18000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18000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18000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Kontrata kornizë për transport të mostrave jashtë Kosovës është lidhur ndërmjet IKSHPK/SHSKUK me operator ekonomik dhe numri i dërgesave të dërguara;</w:t>
            </w:r>
          </w:p>
        </w:tc>
      </w:tr>
      <w:tr w:rsidR="004F1A82" w:rsidRPr="00F17B4A" w:rsidTr="00B03549">
        <w:trPr>
          <w:trHeight w:val="3149"/>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5.2.</w:t>
            </w:r>
            <w:r w:rsidR="00B03549" w:rsidRPr="00F17B4A">
              <w:rPr>
                <w:rFonts w:ascii="Book Antiqua" w:hAnsi="Book Antiqua"/>
              </w:rPr>
              <w:t>3. Të</w:t>
            </w:r>
            <w:r w:rsidRPr="00F17B4A">
              <w:rPr>
                <w:rFonts w:ascii="Book Antiqua" w:hAnsi="Book Antiqua"/>
              </w:rPr>
              <w:t xml:space="preserve"> bëhet rishikim kritik i financimit të nevojshëm për funksionet laboratorike të qëndrueshme referente të shëndetit publik kombëtar.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5.2.3.1 Studim lidhur me nevojat buxhetore të laboratorëve referent mikrobiologjik në sektorin publik për ofrim të shërbimeve mikrobiologjike të shëndetit publik </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2024</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Studimi i kryer për nevojat buxhetore të laboratoreve referente mikrobiologjike publike të Kosovës dhe inkorporimi i nevojave financiare në buxhetin e IKSHPK-së</w:t>
            </w:r>
          </w:p>
        </w:tc>
      </w:tr>
      <w:tr w:rsidR="004F1A82" w:rsidRPr="00F17B4A" w:rsidTr="00B03549">
        <w:trPr>
          <w:trHeight w:val="386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5.2.4.</w:t>
            </w:r>
            <w:r w:rsidR="00B03549">
              <w:rPr>
                <w:rFonts w:ascii="Book Antiqua" w:hAnsi="Book Antiqua"/>
              </w:rPr>
              <w:t xml:space="preserve"> </w:t>
            </w:r>
            <w:r w:rsidRPr="00F17B4A">
              <w:rPr>
                <w:rFonts w:ascii="Book Antiqua" w:hAnsi="Book Antiqua"/>
              </w:rPr>
              <w:t xml:space="preserve">Të formalizohet dhe forcohet referimi i mostrave dhe izolateve nga rajonet (shih më poshtë).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5.2.4.1. Zhvillimi dhe funksionimi i sistemit (me udhëzues, protokole standarte operative, trajnim) për transportin e izolateve mikrobike (mostrave) nga qendrat e shëndetësisë publike në rajone në IKSHPK Prishtinë për karakterizime të mëtutjeshme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6,000.00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Shëndetësisë,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Sistemi për transport të mostrave mikrobiologjike nga rajonet në IKSHPK Prishtinë është zhvilluar si dhë është funksional</w:t>
            </w:r>
          </w:p>
        </w:tc>
      </w:tr>
      <w:tr w:rsidR="004F1A82" w:rsidRPr="00F17B4A" w:rsidTr="00B03549">
        <w:trPr>
          <w:trHeight w:val="242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5.3.1.Të krijohen një sistem referimi i izolatave dhe/ose mostrave me financim të qëndrueshëm, PSO funksionale, personel i trajnuar dhe procedura të transportit.</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E theksuar në pikën 5.2.4.1</w:t>
            </w:r>
          </w:p>
        </w:tc>
        <w:tc>
          <w:tcPr>
            <w:tcW w:w="276"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w:t>
            </w:r>
          </w:p>
        </w:tc>
      </w:tr>
      <w:tr w:rsidR="004F1A82" w:rsidRPr="00F17B4A" w:rsidTr="00B03549">
        <w:trPr>
          <w:trHeight w:val="3437"/>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5.3.2. Të krijohen programe specifike të patogjenit për referim (të gjitha ose mostrat/izolatet e përzgjedhura) duke marrë parasysh nevojat prioritare për informacion për politikat dhe planifikimin e shëndetit publik.</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E theksuar në pikën 5.2.4.1</w:t>
            </w:r>
          </w:p>
        </w:tc>
        <w:tc>
          <w:tcPr>
            <w:tcW w:w="276"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w:t>
            </w:r>
          </w:p>
        </w:tc>
      </w:tr>
      <w:tr w:rsidR="004F1A82" w:rsidRPr="00F17B4A" w:rsidTr="00B03549">
        <w:trPr>
          <w:trHeight w:val="204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5.3.3. Të krijohen sisteme për transportin e rregullt të mostrave/izolatave biologjike nga rajonet në IKSHPK.</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E theksuar në pikën 5.2.4.1</w:t>
            </w:r>
          </w:p>
        </w:tc>
        <w:tc>
          <w:tcPr>
            <w:tcW w:w="276"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w:t>
            </w:r>
          </w:p>
        </w:tc>
      </w:tr>
      <w:tr w:rsidR="004F1A82" w:rsidRPr="00F17B4A" w:rsidTr="00B03549">
        <w:trPr>
          <w:trHeight w:val="2448"/>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5.3.4. Të inkurajohet dhe bëhet sigurimi i financimit për personelin e laboratorit për të krijuar dhe përditësuar koleksionet dhe depot e izolatave.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5.3.4.1. Banka e izolateve mikrobike  e themeluar në IKSHPK përmes blerjës së ultrafrizave (- 80 C)</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Tetë ultrafrizat e blerë dhe të vendosur në punë në IKSHPK Prishtinë </w:t>
            </w:r>
          </w:p>
        </w:tc>
      </w:tr>
      <w:tr w:rsidR="004F1A82" w:rsidRPr="00F17B4A" w:rsidTr="00B03549">
        <w:trPr>
          <w:trHeight w:val="224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5.2.4.2. Zhvillimi ose blerja e softverit për menaxhimin e informatave për deponimin e mostrave në bankën e mostrave/izolateve mikrobike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Softveri për menaxhimin e bankës së mostrave është blerë si dhe është funksional</w:t>
            </w:r>
          </w:p>
        </w:tc>
      </w:tr>
      <w:tr w:rsidR="004F1A82" w:rsidRPr="00F17B4A" w:rsidTr="00B03549">
        <w:trPr>
          <w:trHeight w:val="2249"/>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5.3.5. Të përdorën njohuritë nga sëmundjet/patogjenët me një sistem referimi funksional (p.sh. tuberkulozi) dhe të zbatohet ai në të gjithë sistemin</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E theksuar në pikën 5.2.4</w:t>
            </w:r>
          </w:p>
        </w:tc>
        <w:tc>
          <w:tcPr>
            <w:tcW w:w="276"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w:t>
            </w:r>
          </w:p>
        </w:tc>
      </w:tr>
      <w:tr w:rsidR="004F1A82" w:rsidRPr="00F17B4A" w:rsidTr="00B03549">
        <w:trPr>
          <w:trHeight w:val="3264"/>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5.3.6. Të krijohet një procedurë e rregullt e informacionit kthyes, nga laboratorët e referimit te mikrobiologët dhe epidemiologët në rajone dhe qarqe.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Zhvillimi dhe mirëmbajtja e sistemit laboratorik informativ (SIL) në IKSHPK/QSHP dhe SHSKUK/QMF (eventualisht e integruar në SISH)</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150,000.00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SIL i themeluar është funksional në të gjitha njësitë si dhe mirëmbahet rregullisht</w:t>
            </w:r>
          </w:p>
        </w:tc>
      </w:tr>
      <w:tr w:rsidR="004F1A82" w:rsidRPr="00F17B4A" w:rsidTr="00B03549">
        <w:trPr>
          <w:trHeight w:val="314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5.4. Të krijohen procese kombëtare për përgatitjen e udhëzimeve dhe përditësime të rregullta të atyre ekzistuese, duke u mbështetur në ekspertizën e shoqatave shkencore dhe të tjerave.</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5.4.1. Zhvillimi i udhëzuesve për diagnozë primare laboratorike mikrobiologjike si dhe karakterizim të mëtutjeshëm të të gjitha sëmundjeve ngjitësë që janë pjesë e sistemit të mbikqyrjës në Kosovë(e theksuar në pikën 5.2.1)</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IKSHPK, SHSKUK, Shoqata e Mikrobiologjisë së Kosovës, Shoqata e Infektologëve të Kosovës, dhe Shoqata tjera relevante</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është vendosur mekanizmi shtetëror për zhvillimin e udhëzimeve nacionale mikrobiologjike</w:t>
            </w:r>
          </w:p>
        </w:tc>
      </w:tr>
      <w:tr w:rsidR="004F1A82" w:rsidRPr="00F17B4A" w:rsidTr="00B03549">
        <w:trPr>
          <w:trHeight w:val="476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5.5. Të zhvillohen udhëzime të klinicistëve dhe ngjarje të akredituara të edukimit të vazhdueshëm profesional për klinicistët në hetimin modern dhe menaxhimin klinik dhe të shëndetit publik të sëmundjeve ngjitëse. Të sigurohet qasje e mirë e klinicistëve në shërbimet diagnostikuese të mikrobiologjisë.</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5.5.1. Zhvillimi i udhëzuesve/udhërrëfyesve/PSO klinik në hetimin dhe menaxhimin klinik dhe të shëndetit publik të sëmundjeve ngjitëse. </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IKSHPK, SHSKUK, Shoqata e Mikrobiologjisë së Kosovës, Shoqata e Infektologëve të Kosovës, si dhe Shoqatat tjera relevante;</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Udhëzimet /udhërrëfyesve/PSO klinike në hetimin dhe menaxhimin klinik dhe të shëndetit publik të sëmundjeve ngjitëse janë të përpiluara dhe të aprovuara </w:t>
            </w:r>
          </w:p>
        </w:tc>
      </w:tr>
      <w:tr w:rsidR="004F1A82" w:rsidRPr="00F17B4A" w:rsidTr="00B03549">
        <w:trPr>
          <w:trHeight w:val="2448"/>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5D279B" w:rsidRDefault="00746FC7" w:rsidP="00BB4474">
            <w:pPr>
              <w:rPr>
                <w:rFonts w:ascii="Book Antiqua" w:hAnsi="Book Antiqua"/>
              </w:rPr>
            </w:pPr>
            <w:r w:rsidRPr="005D279B">
              <w:rPr>
                <w:rFonts w:ascii="Book Antiqua" w:hAnsi="Book Antiqua"/>
              </w:rPr>
              <w:t>5.5.2. Organizimi i</w:t>
            </w:r>
            <w:r w:rsidR="004F1A82" w:rsidRPr="005D279B">
              <w:rPr>
                <w:rFonts w:ascii="Book Antiqua" w:hAnsi="Book Antiqua"/>
              </w:rPr>
              <w:t xml:space="preserve"> konferencës vjetore të Mikrobiologjisë me pjesëmarrje ndërkombëtare;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22,000.00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25,000.00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OMK, 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Konferenca vjetore e Mikrobiologjisë e organizuar, me kohëzgjatje së paku dy ditë; me rreth 200 pjesëmarrës;</w:t>
            </w:r>
          </w:p>
        </w:tc>
      </w:tr>
      <w:tr w:rsidR="004F1A82" w:rsidRPr="00F17B4A" w:rsidTr="00B03549">
        <w:trPr>
          <w:trHeight w:val="2448"/>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5D279B" w:rsidRDefault="004F1A82" w:rsidP="00BB4474">
            <w:pPr>
              <w:rPr>
                <w:rFonts w:ascii="Book Antiqua" w:hAnsi="Book Antiqua"/>
              </w:rPr>
            </w:pPr>
            <w:r w:rsidRPr="005D279B">
              <w:rPr>
                <w:rFonts w:ascii="Book Antiqua" w:hAnsi="Book Antiqua"/>
              </w:rPr>
              <w:t>5.5.3.Organizimi I konferencës vjetore të sëmundjeve ngjitëse pjesëmarrje ndërkombëtare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22,000.00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25,000.00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OMK, 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Konferenca vjetore e sëmundjeve ngjitëse e organizuar, me kohëzgjatje së paku dy dutë; me rreth 200 pjesëmarrës;</w:t>
            </w:r>
          </w:p>
        </w:tc>
      </w:tr>
      <w:tr w:rsidR="004F1A82" w:rsidRPr="00F17B4A" w:rsidTr="00B03549">
        <w:trPr>
          <w:trHeight w:val="3264"/>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shd w:val="clear" w:color="auto" w:fill="FFFFFF"/>
            <w:hideMark/>
          </w:tcPr>
          <w:p w:rsidR="004F1A82" w:rsidRPr="00F17B4A" w:rsidRDefault="004F1A82" w:rsidP="00BB4474">
            <w:pPr>
              <w:rPr>
                <w:rFonts w:ascii="Book Antiqua" w:hAnsi="Book Antiqua"/>
              </w:rPr>
            </w:pPr>
            <w:r w:rsidRPr="00F17B4A">
              <w:rPr>
                <w:rFonts w:ascii="Book Antiqua" w:hAnsi="Book Antiqua"/>
              </w:rPr>
              <w:t>5.5.4. Takime profesionale për diagnostikë mikrobiologjike të sëmundjeve ngjitëse si dhe rezistencës antimikrobike</w:t>
            </w:r>
          </w:p>
        </w:tc>
        <w:tc>
          <w:tcPr>
            <w:tcW w:w="276" w:type="pct"/>
            <w:tcBorders>
              <w:top w:val="nil"/>
              <w:left w:val="nil"/>
              <w:bottom w:val="single" w:sz="4" w:space="0" w:color="auto"/>
              <w:right w:val="single" w:sz="4" w:space="0" w:color="auto"/>
            </w:tcBorders>
            <w:shd w:val="clear" w:color="auto" w:fill="FFFFFF"/>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543"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Shoqata e Mikrobiologjisë së Kosovës, Shoqata e Infektologëvem IKSHPK, SHSKUK</w:t>
            </w:r>
          </w:p>
        </w:tc>
        <w:tc>
          <w:tcPr>
            <w:tcW w:w="463"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shd w:val="clear" w:color="auto" w:fill="FFFFFF"/>
            <w:hideMark/>
          </w:tcPr>
          <w:p w:rsidR="004F1A82" w:rsidRPr="00F17B4A" w:rsidRDefault="004F1A82" w:rsidP="00BB4474">
            <w:pPr>
              <w:rPr>
                <w:rFonts w:ascii="Book Antiqua" w:hAnsi="Book Antiqua"/>
              </w:rPr>
            </w:pPr>
            <w:r w:rsidRPr="00F17B4A">
              <w:rPr>
                <w:rFonts w:ascii="Book Antiqua" w:hAnsi="Book Antiqua"/>
              </w:rPr>
              <w:t>Së paku dy takime vjetore, profesionale-shkencore për diagnostikë të sëmundjeve ngjitëse, të mbajtura, me së paku 100 pjesëmarrës;</w:t>
            </w:r>
          </w:p>
        </w:tc>
      </w:tr>
      <w:tr w:rsidR="004F1A82" w:rsidRPr="00F17B4A" w:rsidTr="00B03549">
        <w:trPr>
          <w:trHeight w:val="539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5.6.1. Të krijohet një program kombëtar për kontrollin e jashtëm të cilësisë së të gjitha laboratorëve të angazhuara në hetimin mikrobiologjik të pacientëve me sëmundje infektive të dyshuar ose të njohur, pasuar nga certifikimi i të paktën funksioneve bazë të çdo laboratori.</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5.6.1.1. Themelimi i programit kombëtar për kontrollë të jashtme të kualitetit për laboratorët mikrobiologjike në Kosovë </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Shoqata e Mikrobiologjisë së Kosovës, IKSHPK, SHSKUK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Programi kombëtar për kontrollë të jashtme të kualitetit për laboratorët mikrobiologjik si dhe kontrolla e jashtme e kualitetit për shërbimet mikrobiologjike kryhet në mënyrë të rregullt për patogjenët më relevant kombëtar në laboratorët mikrobiologjik në IKSHPK/QSHP dhe QKUK</w:t>
            </w:r>
          </w:p>
        </w:tc>
      </w:tr>
      <w:tr w:rsidR="004F1A82" w:rsidRPr="00F17B4A" w:rsidTr="00B03549">
        <w:trPr>
          <w:trHeight w:val="3264"/>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5.6.2. Të mundësohen dhe mbështeten të gjitha laboratorët në IKSHP që të angazhohen në skemat ndërkombëtare të sigurimit të cilësisë së jashtme, në baza të qëndrueshme dhe të vazhdueshme.</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5.6.2.1. Përfshirja në programe të jashtme të kontrollës së kualitetit për laboratorët mikrobiologjike </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25,000.00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Shoqata e Mikrobiologjisë së Kosovës, IKSHPK, SHSKUK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Së paku nga katër panele të jashtme të kontrollës së kualitetit të kryera për patogjen të ndryshëm dhe relevant</w:t>
            </w:r>
          </w:p>
        </w:tc>
      </w:tr>
      <w:tr w:rsidR="004F1A82" w:rsidRPr="00F17B4A" w:rsidTr="00B03549">
        <w:trPr>
          <w:trHeight w:val="188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5.6.2.2. Zhvillimi i programit të brendshëm të kontrollës së kualitetit për laborarorët mikrobiologjike në Kosovë</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2024</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Shoqata e Mikrobiologjisë së Kosovës, IKSHPK, SHSKUK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Së paku nga katër panele të jashtme të kontrollës së kualitetit të kryera për patogjen të ndryshëm dhe relevant</w:t>
            </w:r>
          </w:p>
        </w:tc>
      </w:tr>
      <w:tr w:rsidR="004F1A82" w:rsidRPr="00F17B4A" w:rsidTr="00B03549">
        <w:trPr>
          <w:trHeight w:val="143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5.6.2.3. Përkrahja teknike në akreditimin e laboratorëve mikrobiologjike sipas ISO përkatëse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2024</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Shoqata e Mikrobiologjisë së Kosovës, IKSHPK, SHSKUK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Laboratorët mikrobiologjike në IKSHPK të akredituara</w:t>
            </w:r>
          </w:p>
        </w:tc>
      </w:tr>
      <w:tr w:rsidR="004F1A82" w:rsidRPr="00F17B4A" w:rsidTr="00B03549">
        <w:trPr>
          <w:trHeight w:val="2609"/>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5.7.1. Një program trajnimi duhet të krijohet për kryerjen e egzaminimit të ndjeshmërisë në antimikrobik (AST- antimicrobial susceptibility testing)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5.7.1.1. Zhvillimi i udhëzimeve dhe protokoleve për kryerjen e egzaminimit të ndjeshmërisë së baktereve në antimikrobik me metodën e difuzionit dhe MIC testimit si dhe revidimi i tyre vjetor</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Shoqata e Mikrobiologjisë së Kosovës, Shoqata tjera relevante profesionale, IKSHPK, QKUK, SHSKUK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Udhëzimet e hartuara lidhur me kryerjen e antibiogramit me metodën e difuzionit si dhe me MIC teste</w:t>
            </w:r>
          </w:p>
        </w:tc>
      </w:tr>
      <w:tr w:rsidR="004F1A82" w:rsidRPr="00F17B4A" w:rsidTr="00B03549">
        <w:trPr>
          <w:trHeight w:val="2798"/>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5.7.1.2. Mbajtja e trajnimeve me personelin e laboratorëvë mikrobiologjik për kryerjen e antibiogramit për patogjen të ndryshëm me metodë të difuzionit dhe me MIC teste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Shoqata e Mikrobiologjisë së Kosovës, IKSHPK, SHSKUK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3 trajnime vjetorë të mbajtura, me nga 15-20 pjesëmarrës në secilin trajnim; </w:t>
            </w:r>
          </w:p>
        </w:tc>
      </w:tr>
      <w:tr w:rsidR="004F1A82" w:rsidRPr="00F17B4A" w:rsidTr="00B03549">
        <w:trPr>
          <w:trHeight w:val="2448"/>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5.7.2. Laboratorët duhet të jenë në gjendje të gjenerojnë MIC testimin, të paktën për infeksione serioze dhe/ose specie specifike patogjene</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5.7.2.1. Furnizimi me MIC teste në laboratorët mikrobiologjik </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40,000.00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IKSHPK, SHSKUK</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Egzaminimi i ndjeshmërisë në antimikrobike me MIC teste e kryer për izolatet kryesore mikrobike </w:t>
            </w:r>
          </w:p>
        </w:tc>
      </w:tr>
      <w:tr w:rsidR="004F1A82" w:rsidRPr="00F17B4A" w:rsidTr="00B03549">
        <w:trPr>
          <w:trHeight w:val="224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5.8.1. Të gjithë laboratorët duhet të jenë së paku të një kapaciteti ndërkombëtar (Nivelit të Bio-sigurisë) BSL-2 (të certifikuar dhe të audituar).</w:t>
            </w:r>
          </w:p>
        </w:tc>
        <w:tc>
          <w:tcPr>
            <w:tcW w:w="859" w:type="pct"/>
            <w:tcBorders>
              <w:top w:val="nil"/>
              <w:left w:val="nil"/>
              <w:bottom w:val="single" w:sz="4" w:space="0" w:color="auto"/>
              <w:right w:val="single" w:sz="4" w:space="0" w:color="auto"/>
            </w:tcBorders>
            <w:shd w:val="clear" w:color="auto" w:fill="FFFFFF"/>
            <w:hideMark/>
          </w:tcPr>
          <w:p w:rsidR="004F1A82" w:rsidRPr="00F17B4A" w:rsidRDefault="004F1A82" w:rsidP="00BB4474">
            <w:pPr>
              <w:rPr>
                <w:rFonts w:ascii="Book Antiqua" w:hAnsi="Book Antiqua"/>
              </w:rPr>
            </w:pPr>
            <w:r w:rsidRPr="00F17B4A">
              <w:rPr>
                <w:rFonts w:ascii="Book Antiqua" w:hAnsi="Book Antiqua"/>
              </w:rPr>
              <w:t xml:space="preserve">5.8.1.1. Blerja dhe  instalimi i kabineteve të biosigurisë të nivelit 2 </w:t>
            </w:r>
          </w:p>
        </w:tc>
        <w:tc>
          <w:tcPr>
            <w:tcW w:w="276" w:type="pct"/>
            <w:tcBorders>
              <w:top w:val="nil"/>
              <w:left w:val="nil"/>
              <w:bottom w:val="single" w:sz="4" w:space="0" w:color="auto"/>
              <w:right w:val="single" w:sz="4" w:space="0" w:color="auto"/>
            </w:tcBorders>
            <w:shd w:val="clear" w:color="auto" w:fill="FFFFFF"/>
            <w:vAlign w:val="center"/>
            <w:hideMark/>
          </w:tcPr>
          <w:p w:rsidR="004F1A82" w:rsidRPr="00F17B4A" w:rsidRDefault="00D8455B" w:rsidP="00BB4474">
            <w:pPr>
              <w:rPr>
                <w:rFonts w:ascii="Book Antiqua" w:hAnsi="Book Antiqua"/>
              </w:rPr>
            </w:pPr>
            <w:r>
              <w:rPr>
                <w:rFonts w:ascii="Book Antiqua" w:hAnsi="Book Antiqua"/>
              </w:rPr>
              <w:t>2024</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0.00</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42,000.00</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42,000.00</w:t>
            </w:r>
          </w:p>
        </w:tc>
        <w:tc>
          <w:tcPr>
            <w:tcW w:w="543"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 xml:space="preserve">IKSHPK, </w:t>
            </w:r>
          </w:p>
        </w:tc>
        <w:tc>
          <w:tcPr>
            <w:tcW w:w="463"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shd w:val="clear" w:color="auto" w:fill="FFFFFF"/>
            <w:hideMark/>
          </w:tcPr>
          <w:p w:rsidR="004F1A82" w:rsidRPr="00F17B4A" w:rsidRDefault="004F1A82" w:rsidP="00BB4474">
            <w:pPr>
              <w:rPr>
                <w:rFonts w:ascii="Book Antiqua" w:hAnsi="Book Antiqua"/>
              </w:rPr>
            </w:pPr>
            <w:r w:rsidRPr="00F17B4A">
              <w:rPr>
                <w:rFonts w:ascii="Book Antiqua" w:hAnsi="Book Antiqua"/>
              </w:rPr>
              <w:t>12 kabinete të sigurisë të nivelit 2 të blera dhe të instaluara në QSHP të IKSHPK-së</w:t>
            </w:r>
          </w:p>
        </w:tc>
      </w:tr>
      <w:tr w:rsidR="004F1A82" w:rsidRPr="00F17B4A" w:rsidTr="00B03549">
        <w:trPr>
          <w:trHeight w:val="2448"/>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shd w:val="clear" w:color="auto" w:fill="FFFFFF"/>
            <w:hideMark/>
          </w:tcPr>
          <w:p w:rsidR="004F1A82" w:rsidRPr="00F17B4A" w:rsidRDefault="004F1A82" w:rsidP="00BB4474">
            <w:pPr>
              <w:rPr>
                <w:rFonts w:ascii="Book Antiqua" w:hAnsi="Book Antiqua"/>
              </w:rPr>
            </w:pPr>
            <w:r w:rsidRPr="00F17B4A">
              <w:rPr>
                <w:rFonts w:ascii="Book Antiqua" w:hAnsi="Book Antiqua"/>
              </w:rPr>
              <w:t xml:space="preserve">5.8.1.2. Mirëmbajtja vjetore/Certifikimi i kabineteve të sigurisë të nivelit 2 në laboratoret e mikrobiologjisë </w:t>
            </w:r>
          </w:p>
        </w:tc>
        <w:tc>
          <w:tcPr>
            <w:tcW w:w="276" w:type="pct"/>
            <w:tcBorders>
              <w:top w:val="nil"/>
              <w:left w:val="nil"/>
              <w:bottom w:val="single" w:sz="4" w:space="0" w:color="auto"/>
              <w:right w:val="single" w:sz="4" w:space="0" w:color="auto"/>
            </w:tcBorders>
            <w:shd w:val="clear" w:color="auto" w:fill="FFFFFF"/>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15,000.00</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21,000.00</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27,000.00</w:t>
            </w:r>
          </w:p>
        </w:tc>
        <w:tc>
          <w:tcPr>
            <w:tcW w:w="543"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 xml:space="preserve">IKSHPK, </w:t>
            </w:r>
          </w:p>
        </w:tc>
        <w:tc>
          <w:tcPr>
            <w:tcW w:w="463"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shd w:val="clear" w:color="auto" w:fill="FFFFFF"/>
            <w:hideMark/>
          </w:tcPr>
          <w:p w:rsidR="004F1A82" w:rsidRPr="00F17B4A" w:rsidRDefault="004F1A82" w:rsidP="00BB4474">
            <w:pPr>
              <w:rPr>
                <w:rFonts w:ascii="Book Antiqua" w:hAnsi="Book Antiqua"/>
              </w:rPr>
            </w:pPr>
            <w:r w:rsidRPr="00F17B4A">
              <w:rPr>
                <w:rFonts w:ascii="Book Antiqua" w:hAnsi="Book Antiqua"/>
              </w:rPr>
              <w:t xml:space="preserve">40 kabinete të sigurisë të servisuara dhe të certifikuara në mënyre vjetore në vitin </w:t>
            </w:r>
            <w:r w:rsidR="00D8455B">
              <w:rPr>
                <w:rFonts w:ascii="Book Antiqua" w:hAnsi="Book Antiqua"/>
              </w:rPr>
              <w:t>2025</w:t>
            </w:r>
          </w:p>
        </w:tc>
      </w:tr>
      <w:tr w:rsidR="004F1A82" w:rsidRPr="00F17B4A" w:rsidTr="00B03549">
        <w:trPr>
          <w:trHeight w:val="7752"/>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5.8.2. Numri i laboratorëve të mikrobiologjisë të shëndetit publik në rrjet duhet të përshtatet me kërkesën, nevojat reale për shërbimet diagnostikuese, ndërsa niveli i sigurisë së laboratorëve duhet të përmirësohet në përputhje me standardet ndërkombëtare të certifikuara dhe të audituara. Qasja në shërbimet e laboratorëve BSL-3 mund të sigurohet nëpërmjet kontraktimit të jashtëm dhe bashkëpunimit. </w:t>
            </w:r>
          </w:p>
        </w:tc>
        <w:tc>
          <w:tcPr>
            <w:tcW w:w="859" w:type="pct"/>
            <w:tcBorders>
              <w:top w:val="nil"/>
              <w:left w:val="nil"/>
              <w:bottom w:val="single" w:sz="4" w:space="0" w:color="auto"/>
              <w:right w:val="single" w:sz="4" w:space="0" w:color="auto"/>
            </w:tcBorders>
            <w:shd w:val="clear" w:color="auto" w:fill="FFFFFF"/>
            <w:hideMark/>
          </w:tcPr>
          <w:p w:rsidR="004F1A82" w:rsidRPr="00F17B4A" w:rsidRDefault="004F1A82" w:rsidP="00BB4474">
            <w:pPr>
              <w:rPr>
                <w:rFonts w:ascii="Book Antiqua" w:hAnsi="Book Antiqua"/>
              </w:rPr>
            </w:pPr>
            <w:r w:rsidRPr="00F17B4A">
              <w:rPr>
                <w:rFonts w:ascii="Book Antiqua" w:hAnsi="Book Antiqua"/>
              </w:rPr>
              <w:t>5.8.2.1. Ndërtimi i ndërtesës për laboratorët referent të IKSHPK-së, ku përfshihet edhe niveli i tretë i biosigurisë</w:t>
            </w:r>
          </w:p>
        </w:tc>
        <w:tc>
          <w:tcPr>
            <w:tcW w:w="276" w:type="pct"/>
            <w:tcBorders>
              <w:top w:val="nil"/>
              <w:left w:val="nil"/>
              <w:bottom w:val="single" w:sz="4" w:space="0" w:color="auto"/>
              <w:right w:val="single" w:sz="4" w:space="0" w:color="auto"/>
            </w:tcBorders>
            <w:shd w:val="clear" w:color="auto" w:fill="FFFFFF"/>
            <w:vAlign w:val="center"/>
            <w:hideMark/>
          </w:tcPr>
          <w:p w:rsidR="004F1A82" w:rsidRPr="00F17B4A" w:rsidRDefault="00D8455B" w:rsidP="00BB4474">
            <w:pPr>
              <w:rPr>
                <w:rFonts w:ascii="Book Antiqua" w:hAnsi="Book Antiqua"/>
              </w:rPr>
            </w:pPr>
            <w:r>
              <w:rPr>
                <w:rFonts w:ascii="Book Antiqua" w:hAnsi="Book Antiqua"/>
              </w:rPr>
              <w:t>2024</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3,500,000.00</w:t>
            </w:r>
          </w:p>
        </w:tc>
        <w:tc>
          <w:tcPr>
            <w:tcW w:w="35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3,500,000.00</w:t>
            </w:r>
          </w:p>
        </w:tc>
        <w:tc>
          <w:tcPr>
            <w:tcW w:w="543"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 xml:space="preserve">IKSHPK, </w:t>
            </w:r>
          </w:p>
        </w:tc>
        <w:tc>
          <w:tcPr>
            <w:tcW w:w="463" w:type="pct"/>
            <w:tcBorders>
              <w:top w:val="nil"/>
              <w:left w:val="nil"/>
              <w:bottom w:val="single" w:sz="4" w:space="0" w:color="auto"/>
              <w:right w:val="single" w:sz="4" w:space="0" w:color="auto"/>
            </w:tcBorders>
            <w:shd w:val="clear" w:color="auto" w:fill="FFFFFF"/>
            <w:vAlign w:val="center"/>
            <w:hideMark/>
          </w:tcPr>
          <w:p w:rsidR="004F1A82" w:rsidRPr="00F17B4A" w:rsidRDefault="004F1A82" w:rsidP="00BB4474">
            <w:pPr>
              <w:rPr>
                <w:rFonts w:ascii="Book Antiqua" w:hAnsi="Book Antiqua"/>
              </w:rPr>
            </w:pPr>
            <w:r w:rsidRPr="00F17B4A">
              <w:rPr>
                <w:rFonts w:ascii="Book Antiqua" w:hAnsi="Book Antiqua"/>
              </w:rPr>
              <w:t>MSH dhe MF</w:t>
            </w:r>
          </w:p>
        </w:tc>
        <w:tc>
          <w:tcPr>
            <w:tcW w:w="679" w:type="pct"/>
            <w:tcBorders>
              <w:top w:val="nil"/>
              <w:left w:val="nil"/>
              <w:bottom w:val="single" w:sz="4" w:space="0" w:color="auto"/>
              <w:right w:val="single" w:sz="4" w:space="0" w:color="auto"/>
            </w:tcBorders>
            <w:shd w:val="clear" w:color="auto" w:fill="FFFFFF"/>
            <w:hideMark/>
          </w:tcPr>
          <w:p w:rsidR="004F1A82" w:rsidRPr="00F17B4A" w:rsidRDefault="004F1A82" w:rsidP="00BB4474">
            <w:pPr>
              <w:rPr>
                <w:rFonts w:ascii="Book Antiqua" w:hAnsi="Book Antiqua"/>
              </w:rPr>
            </w:pPr>
            <w:r w:rsidRPr="00F17B4A">
              <w:rPr>
                <w:rFonts w:ascii="Book Antiqua" w:hAnsi="Book Antiqua"/>
              </w:rPr>
              <w:t>Laboratoret referente mikrobiologjike të IKSHPK të vendosura në ndërtesë moderne që I plotëson kërkesat e sigurisë si dhe ato hapësinore, përfshirë BSL-3;</w:t>
            </w:r>
          </w:p>
        </w:tc>
      </w:tr>
      <w:tr w:rsidR="004F1A82" w:rsidRPr="00F17B4A" w:rsidTr="00B03549">
        <w:trPr>
          <w:trHeight w:val="386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5.9. Të krijohen programe të rregullta dhe të qëndrueshme të trajnimit me ndihmën e shoqatave shkencore, institucioneve arsimore, IKSHPK dhe autoriteteve ri-licencuese (personeli mjekësor), veçanërisht për personelin e laboratorëve rajonal. Të inkurajohet personeli që të marrë pjesë në këto programe.</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5.9.1. Zhvillimi i planit të trajnimeve për edukim të vazhdueshëm profesional të personelit në laboratore të Mikrobiologjisë  </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2,500.00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2,500.00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2,500.00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Financave, Donatorët ndërkombëtar dhe lokal</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Plani i trajnimeve për edukim të vazhdueshëm profesional I zhvilluar dhe akredituar nga Odat profesionale të Kosovës;</w:t>
            </w:r>
          </w:p>
        </w:tc>
      </w:tr>
      <w:tr w:rsidR="004F1A82" w:rsidRPr="00F17B4A" w:rsidTr="00B03549">
        <w:trPr>
          <w:trHeight w:val="1007"/>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5.9.2. Takime profesionale për diagnostikë mikrobiologjike të sëmundjeve ngjitëse si dhe rezistencës antimikrobike (të theksuara më lartë)</w:t>
            </w:r>
          </w:p>
        </w:tc>
        <w:tc>
          <w:tcPr>
            <w:tcW w:w="276"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w:t>
            </w:r>
          </w:p>
        </w:tc>
      </w:tr>
      <w:tr w:rsidR="004F1A82" w:rsidRPr="00F17B4A" w:rsidTr="00B03549">
        <w:trPr>
          <w:trHeight w:val="2448"/>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5.10.1 Të përcaktohen financat e nevojshme për sigurimin adekuat të diagnostikimit primar dhe funksioneve referuese në vend.</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E theksuar në pikën 5.1.1</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Shuma e buxhetit të alokuar për shërbime mikrobiologjike</w:t>
            </w:r>
          </w:p>
        </w:tc>
      </w:tr>
      <w:tr w:rsidR="004F1A82" w:rsidRPr="00F17B4A" w:rsidTr="00B03549">
        <w:trPr>
          <w:trHeight w:val="323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5.10.2. Të përmirësohen dhe të bëhen më efikase dhe më të përgjegjshme sistemet e prokurimit për reagjentët laboratorikë, materialet shpenzuese dhe infrastrukturën.</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5.10.2.1 Trajnimi i personelit të laboratorik për zhvillim të specifikave teknike për blerje të mallërave dhe shërbimeve mikrobiologjike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Së paku dy takime vjetore të mbajtura për hartim të specifikave teknike</w:t>
            </w:r>
          </w:p>
        </w:tc>
      </w:tr>
      <w:tr w:rsidR="004F1A82" w:rsidRPr="00F17B4A" w:rsidTr="00B03549">
        <w:trPr>
          <w:trHeight w:val="3264"/>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5.10.2.2. Revidimi i procedurave të prokurimit për reagjentët laboratorik mikrobiologjik bazuar në praktikat e shteteve të EU-së</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2024</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3,000.00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Drafti I procedurave të prokurimit të përshtatura sektorit shëndetësor dhe laboratorik</w:t>
            </w:r>
          </w:p>
        </w:tc>
      </w:tr>
      <w:tr w:rsidR="004F1A82" w:rsidRPr="00F17B4A" w:rsidTr="00B03549">
        <w:trPr>
          <w:trHeight w:val="3264"/>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5.11.1. Të përditësohet legjislacioni dhe të kërkohet nga laboratorët privatë të raportojnë për të gjithë patogjenët që duhet njoftuar tek autoritetet rajonale të shëndetit publik.</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5.11.1.1.Krijimi i modulit elektronik të raportimit të shkaktarëve të sëmundjeve ngjitëse të izoluar ose të identifikuar</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2024</w:t>
            </w:r>
            <w:r w:rsidR="004F1A82" w:rsidRPr="00F17B4A">
              <w:rPr>
                <w:rFonts w:ascii="Book Antiqua" w:hAnsi="Book Antiqua"/>
              </w:rPr>
              <w:t>-</w:t>
            </w: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15,000.00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Sistemi elektornik për raportim nga laboratorët mikrobiologjik privat është zhvilluar dhe instaluar në të gjitha laboratorët mikrobiologjik;</w:t>
            </w:r>
          </w:p>
        </w:tc>
      </w:tr>
      <w:tr w:rsidR="004F1A82" w:rsidRPr="00F17B4A" w:rsidTr="00B03549">
        <w:trPr>
          <w:trHeight w:val="278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5.11.2. Të zhvillohen rrjete rajonale ku laboratorët privatë janë të integruar me sistemin dhe ofrojnë të dhëna për të arritur kapacitetin maksimal për diagnostikimin e pacientëve në nivel rajonal.</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është theksuar në pikën paraprakë (më lartë)</w:t>
            </w:r>
          </w:p>
        </w:tc>
        <w:tc>
          <w:tcPr>
            <w:tcW w:w="276"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w:t>
            </w:r>
          </w:p>
        </w:tc>
      </w:tr>
      <w:tr w:rsidR="004F1A82" w:rsidRPr="00F17B4A" w:rsidTr="00B03549">
        <w:trPr>
          <w:trHeight w:val="4896"/>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6.3.2. Të forcohet kapaciteti për zbulimin e patogjenëve gastrointestinalë në të gjitha laboratorët e mikrobiologjisë klinike dhe udhëzimet klinike dhe trajnimet për klinicistët që të përdorin kapacitetin e disponueshëm të laboratorit në mënyrë të përshtatshme.</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6.3.2.1. Zhvillimi i udhëzuesve për diagnozë laboratorike mikrobiologjike si dhe karakterizim të mëtutjeshëm të patogjenëve gastrointestinale</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Udhëzuesi kosovar për diagnozë laboratorike mikrobiogjike të patogjenëve gastrointestinale është zhvilluar</w:t>
            </w:r>
          </w:p>
        </w:tc>
      </w:tr>
      <w:tr w:rsidR="004F1A82" w:rsidRPr="00F17B4A" w:rsidTr="00B03549">
        <w:trPr>
          <w:trHeight w:val="323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6.3.2.2. Trajnimi i personelit të laboratorëve mikrobiologjike si dhe profesionistëve tjerë relevant lidhur me implementimin e udhëzuesit laboratorik për diagnozë të patogjenëve gastrointestinal</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Tri trajnime vjetore të mbajtura me  nga 20 pjesëmarrës në secilin trajnim</w:t>
            </w:r>
          </w:p>
        </w:tc>
      </w:tr>
      <w:tr w:rsidR="004F1A82" w:rsidRPr="00F17B4A" w:rsidTr="00B03549">
        <w:trPr>
          <w:trHeight w:val="557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6.7.6.Të forcohet kapaciteti për identifikimin e sëmundjeve invazive pneumokokale dhe meningokokale në të gjitha laboratorët e mikrobiologjisë klinike dhe të krijohen udhëzime klinike dhe trajnim për klinicistët për përdorimin e duhur të kapacitetit laboratorik në dispozicion për të siguruar të dhëna për të udhëhequr politikat e vaksinimit;</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6.7.6.1. Zhvillimi i udhëzuesve Kosovar për diagnozë laboratorike mikrobiologjike si dhe karakterizim të mëtutjeshëm të patogjenëve meningjeal</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Udhëzuesi kosovar për diagnozë laboratorike mikrobiogjike të infeksioneve meningjeale është zhvilluar</w:t>
            </w:r>
          </w:p>
        </w:tc>
      </w:tr>
      <w:tr w:rsidR="004F1A82" w:rsidRPr="00F17B4A" w:rsidTr="00B03549">
        <w:trPr>
          <w:trHeight w:val="3225"/>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6.7.6.2. Trajnimi i personelit të laboratorëve mikrobiologjike si dhe profesionistëve tjerë relevant lidhur me implementimin e udhëzuesit laboratorik për diagnozë të patogjenëve meningjeal</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Tri trajnime vjetore të mbajtura me  nga 20 pjesëmarrës në secilin trajnim</w:t>
            </w:r>
          </w:p>
        </w:tc>
      </w:tr>
      <w:tr w:rsidR="004F1A82" w:rsidRPr="00F17B4A" w:rsidTr="00B03549">
        <w:trPr>
          <w:trHeight w:val="6528"/>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6.4.2.2. Të forcohet kapaciteti për zbulimin e ITS-ve, veçanërisht klamidia, gonorreja dhe sifilizi, në të gjitha laboratorët e mikrobiologjisë klinike, të zhvillohen udhëzime klinike dhe trajnim për klinicistët që të përdorin kapacitetin e disponueshëm të laboratorit në mënyrë të përshtatshme dhe të krijohet gjurmimi i kontakteve</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6.4.2.2.1. Zhvillimi i udhëzuesve Kosovar për diagnozë laboratorike mikrobiologjike si dhe karakterizim të mëtutjeshëm të patogjenëve që shkaktojnë IST</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Udhëzuesi kosovar për diagnozë laboratorike mikrobiogjike të IST është zhvilluar</w:t>
            </w:r>
          </w:p>
        </w:tc>
      </w:tr>
      <w:tr w:rsidR="004F1A82" w:rsidRPr="00F17B4A" w:rsidTr="00B03549">
        <w:trPr>
          <w:trHeight w:val="3230"/>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6.4.2.2.2. Trajnimi i personelit të laboratorëve mikrobiologjike si dhe profesionistëve tjerë relevant lidhur me implementimin e udhëzuesit laboratorik për diagnozë të IST</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Tri trajnime vjetore të mbajtura me  nga 20 pjesëmarrës në secilin trajnim</w:t>
            </w:r>
          </w:p>
        </w:tc>
      </w:tr>
      <w:tr w:rsidR="004F1A82" w:rsidRPr="00F17B4A" w:rsidTr="00B03549">
        <w:trPr>
          <w:trHeight w:val="3672"/>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6.4.3. Të forcohet mbikëqyrja dhe të zbatohen studimet e përhapura mirë për të përcaktuar barrën e popullatës nga hepatiti C, në mënyrë që të udhëzohen programet e kontrollit dhe trajtimit.</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6.4.3.1. Kryerja e testimeve laboratorike për diagnozë të hepatiteve virale në të gjithë QSHP dhe IKSHPK</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2023</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50,000.00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60,000.00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60,000.00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Testimi për hepatitet virale kryhet në të gjitha laboratoret mikrobiologjike në gjashtë QSHPdhe në IKSHPK</w:t>
            </w:r>
          </w:p>
        </w:tc>
      </w:tr>
      <w:tr w:rsidR="004F1A82" w:rsidRPr="00F17B4A" w:rsidTr="00B03549">
        <w:trPr>
          <w:trHeight w:val="2856"/>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6.4.3.2. Studim lidhur me prevalencën e HCV në mesin e popullatës së përgjithshme të Kosovës</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2024</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150,000.00</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Prevalenca e HCV në popullatën e përgjithshme të Kosovës është përcaktuar</w:t>
            </w:r>
          </w:p>
        </w:tc>
      </w:tr>
      <w:tr w:rsidR="004F1A82" w:rsidRPr="00F17B4A" w:rsidTr="00B03549">
        <w:trPr>
          <w:trHeight w:val="2856"/>
        </w:trPr>
        <w:tc>
          <w:tcPr>
            <w:tcW w:w="638" w:type="pct"/>
            <w:tcBorders>
              <w:top w:val="nil"/>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w:t>
            </w:r>
          </w:p>
        </w:tc>
        <w:tc>
          <w:tcPr>
            <w:tcW w:w="85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6.4.3.3. Studim lidhur me prevalencën e HCV në mesin e grupeve të rrezikuara të popullatës</w:t>
            </w:r>
          </w:p>
        </w:tc>
        <w:tc>
          <w:tcPr>
            <w:tcW w:w="276" w:type="pct"/>
            <w:tcBorders>
              <w:top w:val="nil"/>
              <w:left w:val="nil"/>
              <w:bottom w:val="single" w:sz="4" w:space="0" w:color="auto"/>
              <w:right w:val="single" w:sz="4" w:space="0" w:color="auto"/>
            </w:tcBorders>
            <w:vAlign w:val="center"/>
            <w:hideMark/>
          </w:tcPr>
          <w:p w:rsidR="004F1A82" w:rsidRPr="00F17B4A" w:rsidRDefault="00D8455B" w:rsidP="00BB4474">
            <w:pPr>
              <w:rPr>
                <w:rFonts w:ascii="Book Antiqua" w:hAnsi="Book Antiqua"/>
              </w:rPr>
            </w:pPr>
            <w:r>
              <w:rPr>
                <w:rFonts w:ascii="Book Antiqua" w:hAnsi="Book Antiqua"/>
              </w:rPr>
              <w:t>2025</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w:t>
            </w:r>
          </w:p>
        </w:tc>
        <w:tc>
          <w:tcPr>
            <w:tcW w:w="35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200,000.00</w:t>
            </w:r>
          </w:p>
        </w:tc>
        <w:tc>
          <w:tcPr>
            <w:tcW w:w="54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Buxheti i Kosovës; Donatorët</w:t>
            </w:r>
          </w:p>
        </w:tc>
        <w:tc>
          <w:tcPr>
            <w:tcW w:w="468"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 xml:space="preserve">IKSHPK, SHSKUK, Shoqata e Mikrobiologjisë së Kosovës; Shoqata e Infektologëve të Kosovës; Shoqata tjera profesionale mjekësorë të përafërta; </w:t>
            </w:r>
          </w:p>
        </w:tc>
        <w:tc>
          <w:tcPr>
            <w:tcW w:w="463" w:type="pct"/>
            <w:tcBorders>
              <w:top w:val="nil"/>
              <w:left w:val="nil"/>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Ministria e Shëndetëisë; Ministria e Financave</w:t>
            </w:r>
          </w:p>
        </w:tc>
        <w:tc>
          <w:tcPr>
            <w:tcW w:w="679" w:type="pct"/>
            <w:tcBorders>
              <w:top w:val="nil"/>
              <w:left w:val="nil"/>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Prevalenca e HCV në grupet me rrezik të lartë në Kosovës është përcaktuar</w:t>
            </w:r>
          </w:p>
        </w:tc>
      </w:tr>
    </w:tbl>
    <w:p w:rsidR="004F1A82" w:rsidRDefault="004F1A82" w:rsidP="00BB4474">
      <w:pPr>
        <w:rPr>
          <w:rFonts w:ascii="Book Antiqua" w:hAnsi="Book Antiqua"/>
        </w:rPr>
      </w:pPr>
    </w:p>
    <w:p w:rsidR="002E3CC7" w:rsidRDefault="002E3CC7" w:rsidP="00BB4474">
      <w:pPr>
        <w:rPr>
          <w:rFonts w:ascii="Book Antiqua" w:hAnsi="Book Antiqua"/>
        </w:rPr>
      </w:pPr>
    </w:p>
    <w:p w:rsidR="002E3CC7" w:rsidRDefault="002E3CC7" w:rsidP="00BB4474">
      <w:pPr>
        <w:rPr>
          <w:rFonts w:ascii="Book Antiqua" w:hAnsi="Book Antiqua"/>
        </w:rPr>
      </w:pPr>
    </w:p>
    <w:p w:rsidR="002E3CC7" w:rsidRDefault="002E3CC7" w:rsidP="00BB4474">
      <w:pPr>
        <w:rPr>
          <w:rFonts w:ascii="Book Antiqua" w:hAnsi="Book Antiqua"/>
        </w:rPr>
      </w:pPr>
    </w:p>
    <w:p w:rsidR="002E3CC7" w:rsidRDefault="002E3CC7" w:rsidP="00BB4474">
      <w:pPr>
        <w:rPr>
          <w:rFonts w:ascii="Book Antiqua" w:hAnsi="Book Antiqua"/>
        </w:rPr>
      </w:pPr>
    </w:p>
    <w:p w:rsidR="002E3CC7" w:rsidRDefault="002E3CC7" w:rsidP="00BB4474">
      <w:pPr>
        <w:rPr>
          <w:rFonts w:ascii="Book Antiqua" w:hAnsi="Book Antiqua"/>
        </w:rPr>
      </w:pPr>
    </w:p>
    <w:p w:rsidR="002E3CC7" w:rsidRPr="00F17B4A" w:rsidRDefault="002E3CC7" w:rsidP="00BB4474">
      <w:pPr>
        <w:rPr>
          <w:rFonts w:ascii="Book Antiqua" w:hAnsi="Book Antiqua"/>
        </w:rPr>
      </w:pPr>
    </w:p>
    <w:p w:rsidR="004F1A82" w:rsidRPr="00BC3D89" w:rsidRDefault="00BC3D89" w:rsidP="00BB4474">
      <w:pPr>
        <w:rPr>
          <w:rFonts w:ascii="Book Antiqua" w:hAnsi="Book Antiqua"/>
        </w:rPr>
      </w:pPr>
      <w:r>
        <w:rPr>
          <w:rFonts w:ascii="Book Antiqua" w:hAnsi="Book Antiqua"/>
        </w:rPr>
        <w:t>6. PROGRAMET E SEMUNDJEVE</w:t>
      </w:r>
    </w:p>
    <w:tbl>
      <w:tblPr>
        <w:tblStyle w:val="TableGrid"/>
        <w:tblW w:w="0" w:type="auto"/>
        <w:tblLook w:val="04A0" w:firstRow="1" w:lastRow="0" w:firstColumn="1" w:lastColumn="0" w:noHBand="0" w:noVBand="1"/>
      </w:tblPr>
      <w:tblGrid>
        <w:gridCol w:w="1515"/>
        <w:gridCol w:w="2027"/>
        <w:gridCol w:w="866"/>
        <w:gridCol w:w="658"/>
        <w:gridCol w:w="658"/>
        <w:gridCol w:w="658"/>
        <w:gridCol w:w="747"/>
        <w:gridCol w:w="1360"/>
        <w:gridCol w:w="1244"/>
        <w:gridCol w:w="1268"/>
        <w:gridCol w:w="2175"/>
      </w:tblGrid>
      <w:tr w:rsidR="004F1A82" w:rsidRPr="00F17B4A" w:rsidTr="00C867C1">
        <w:tc>
          <w:tcPr>
            <w:tcW w:w="12950" w:type="dxa"/>
            <w:gridSpan w:val="11"/>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SEKSIONI 6: PROGRAMET KOMBËTARE TË SËMUNDJEVE</w:t>
            </w:r>
          </w:p>
          <w:p w:rsidR="004F1A82" w:rsidRPr="00F17B4A" w:rsidRDefault="004F1A82" w:rsidP="00BB4474">
            <w:pPr>
              <w:rPr>
                <w:rFonts w:ascii="Book Antiqua" w:hAnsi="Book Antiqua"/>
              </w:rPr>
            </w:pPr>
            <w:r w:rsidRPr="00F17B4A">
              <w:rPr>
                <w:rFonts w:ascii="Book Antiqua" w:hAnsi="Book Antiqua"/>
              </w:rPr>
              <w:t>6.1 : REZISTENCA ANTIMIKROBIKE</w:t>
            </w:r>
          </w:p>
          <w:p w:rsidR="004F1A82" w:rsidRPr="00F17B4A" w:rsidRDefault="004F1A82" w:rsidP="00BB4474">
            <w:pPr>
              <w:rPr>
                <w:rFonts w:ascii="Book Antiqua" w:hAnsi="Book Antiqua"/>
              </w:rPr>
            </w:pPr>
          </w:p>
        </w:tc>
      </w:tr>
      <w:tr w:rsidR="004F1A82" w:rsidRPr="00F17B4A" w:rsidTr="00C867C1">
        <w:tc>
          <w:tcPr>
            <w:tcW w:w="12950" w:type="dxa"/>
            <w:gridSpan w:val="11"/>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F1A82" w:rsidRPr="00F17B4A" w:rsidRDefault="004F1A82" w:rsidP="00BB4474">
            <w:pPr>
              <w:rPr>
                <w:rFonts w:ascii="Book Antiqua" w:hAnsi="Book Antiqua"/>
              </w:rPr>
            </w:pPr>
            <w:r w:rsidRPr="00F17B4A">
              <w:rPr>
                <w:rFonts w:ascii="Book Antiqua" w:hAnsi="Book Antiqua"/>
              </w:rPr>
              <w:t>OBJEKTIVI STRATEGJIK: Rujatja e veprimit efikas të antibiotikëve</w:t>
            </w:r>
          </w:p>
          <w:p w:rsidR="004F1A82" w:rsidRPr="00F17B4A" w:rsidRDefault="004F1A82" w:rsidP="00BB4474">
            <w:pPr>
              <w:rPr>
                <w:rFonts w:ascii="Book Antiqua" w:hAnsi="Book Antiqua"/>
              </w:rPr>
            </w:pPr>
          </w:p>
        </w:tc>
      </w:tr>
      <w:tr w:rsidR="004F1A82" w:rsidRPr="00F17B4A" w:rsidTr="00C867C1">
        <w:tc>
          <w:tcPr>
            <w:tcW w:w="3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OBJEKTIVI SPECIFIK: Përdorimi i drejtë i antibiotikëve në mjekësinë humane dhe veterinere</w:t>
            </w:r>
          </w:p>
        </w:tc>
        <w:tc>
          <w:tcPr>
            <w:tcW w:w="30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1A82" w:rsidRPr="00F17B4A" w:rsidRDefault="004F1A82" w:rsidP="00BB4474">
            <w:pPr>
              <w:rPr>
                <w:rFonts w:ascii="Book Antiqua" w:hAnsi="Book Antiqua"/>
              </w:rPr>
            </w:pPr>
            <w:r w:rsidRPr="00F17B4A">
              <w:rPr>
                <w:rFonts w:ascii="Book Antiqua" w:hAnsi="Book Antiqua"/>
              </w:rPr>
              <w:t>INDIKATORËT PËR MATJEN E ARRITJES SË OBJEKTIVIT</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1A82" w:rsidRPr="00F17B4A" w:rsidRDefault="004F1A82" w:rsidP="00BB4474">
            <w:pPr>
              <w:rPr>
                <w:rFonts w:ascii="Book Antiqua" w:hAnsi="Book Antiqua"/>
              </w:rPr>
            </w:pP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1A82" w:rsidRPr="00F17B4A" w:rsidRDefault="004F1A82" w:rsidP="00BB4474">
            <w:pPr>
              <w:rPr>
                <w:rFonts w:ascii="Book Antiqua" w:hAnsi="Book Antiqua"/>
              </w:rPr>
            </w:pPr>
          </w:p>
        </w:tc>
        <w:tc>
          <w:tcPr>
            <w:tcW w:w="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BAZA 2021</w:t>
            </w:r>
          </w:p>
        </w:tc>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 xml:space="preserve">CAKU </w:t>
            </w:r>
            <w:r w:rsidR="00D8455B">
              <w:rPr>
                <w:rFonts w:ascii="Book Antiqua" w:hAnsi="Book Antiqua"/>
              </w:rPr>
              <w:t>2025</w:t>
            </w:r>
          </w:p>
        </w:tc>
        <w:tc>
          <w:tcPr>
            <w:tcW w:w="2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CAKU 2030</w:t>
            </w:r>
          </w:p>
        </w:tc>
      </w:tr>
      <w:tr w:rsidR="004F1A82" w:rsidRPr="00F17B4A" w:rsidTr="00C867C1">
        <w:tc>
          <w:tcPr>
            <w:tcW w:w="3396" w:type="dxa"/>
            <w:gridSpan w:val="2"/>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838"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2896" w:type="dxa"/>
            <w:gridSpan w:val="4"/>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KOSTOJA</w:t>
            </w:r>
          </w:p>
        </w:tc>
        <w:tc>
          <w:tcPr>
            <w:tcW w:w="1310"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119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1222"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208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Rekomandimi i  ECDC</w:t>
            </w:r>
          </w:p>
        </w:tc>
        <w:tc>
          <w:tcPr>
            <w:tcW w:w="1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Aktiviteti</w:t>
            </w:r>
          </w:p>
        </w:tc>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Afati i zbatimit</w:t>
            </w: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Viti 1</w:t>
            </w:r>
          </w:p>
          <w:p w:rsidR="004F1A82" w:rsidRPr="00F17B4A" w:rsidRDefault="00D8455B" w:rsidP="00BB4474">
            <w:pPr>
              <w:rPr>
                <w:rFonts w:ascii="Book Antiqua" w:hAnsi="Book Antiqua"/>
              </w:rPr>
            </w:pPr>
            <w:r>
              <w:rPr>
                <w:rFonts w:ascii="Book Antiqua" w:hAnsi="Book Antiqua"/>
              </w:rPr>
              <w:t>2023</w:t>
            </w: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Viti 2</w:t>
            </w:r>
          </w:p>
          <w:p w:rsidR="004F1A82" w:rsidRPr="00F17B4A" w:rsidRDefault="00D8455B" w:rsidP="00BB4474">
            <w:pPr>
              <w:rPr>
                <w:rFonts w:ascii="Book Antiqua" w:hAnsi="Book Antiqua"/>
              </w:rPr>
            </w:pPr>
            <w:r>
              <w:rPr>
                <w:rFonts w:ascii="Book Antiqua" w:hAnsi="Book Antiqua"/>
              </w:rPr>
              <w:t>2024</w:t>
            </w: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Vit 3</w:t>
            </w:r>
          </w:p>
          <w:p w:rsidR="004F1A82" w:rsidRPr="00F17B4A" w:rsidRDefault="00D8455B" w:rsidP="00BB4474">
            <w:pPr>
              <w:rPr>
                <w:rFonts w:ascii="Book Antiqua" w:hAnsi="Book Antiqua"/>
              </w:rPr>
            </w:pPr>
            <w:r>
              <w:rPr>
                <w:rFonts w:ascii="Book Antiqua" w:hAnsi="Book Antiqua"/>
              </w:rPr>
              <w:t>2025</w:t>
            </w: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Totali</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Burimi i financimit</w:t>
            </w:r>
          </w:p>
        </w:tc>
        <w:tc>
          <w:tcPr>
            <w:tcW w:w="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Institucioni udhëheqës</w:t>
            </w:r>
          </w:p>
        </w:tc>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Institucioni mbështetës</w:t>
            </w:r>
          </w:p>
        </w:tc>
        <w:tc>
          <w:tcPr>
            <w:tcW w:w="2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1A82" w:rsidRPr="00F17B4A" w:rsidRDefault="004F1A82" w:rsidP="00BB4474">
            <w:pPr>
              <w:rPr>
                <w:rFonts w:ascii="Book Antiqua" w:hAnsi="Book Antiqua"/>
              </w:rPr>
            </w:pPr>
            <w:r w:rsidRPr="00F17B4A">
              <w:rPr>
                <w:rFonts w:ascii="Book Antiqua" w:hAnsi="Book Antiqua"/>
              </w:rPr>
              <w:t>Produkti</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6.1.1.1. Fillimi i menjëhershëm i zbatimit të draft Planit Kombëtar të Veprimit për AMR, duke ofruar mbështetje  financiare</w:t>
            </w:r>
          </w:p>
        </w:tc>
        <w:tc>
          <w:tcPr>
            <w:tcW w:w="1946" w:type="dxa"/>
            <w:tcBorders>
              <w:top w:val="single" w:sz="4" w:space="0" w:color="auto"/>
              <w:left w:val="single" w:sz="4" w:space="0" w:color="auto"/>
              <w:bottom w:val="single" w:sz="4" w:space="0" w:color="auto"/>
              <w:right w:val="single" w:sz="4" w:space="0" w:color="auto"/>
            </w:tcBorders>
          </w:tcPr>
          <w:p w:rsidR="004F1A82" w:rsidRDefault="00781001" w:rsidP="00BB4474">
            <w:pPr>
              <w:rPr>
                <w:rFonts w:ascii="Book Antiqua" w:hAnsi="Book Antiqua"/>
              </w:rPr>
            </w:pPr>
            <w:r>
              <w:rPr>
                <w:rFonts w:ascii="Book Antiqua" w:hAnsi="Book Antiqua"/>
              </w:rPr>
              <w:t>H</w:t>
            </w:r>
            <w:r w:rsidR="00F15DF7">
              <w:rPr>
                <w:rFonts w:ascii="Book Antiqua" w:hAnsi="Book Antiqua"/>
              </w:rPr>
              <w:t xml:space="preserve">artimi i </w:t>
            </w:r>
            <w:r w:rsidR="004F1A82" w:rsidRPr="00F17B4A">
              <w:rPr>
                <w:rFonts w:ascii="Book Antiqua" w:hAnsi="Book Antiqua"/>
              </w:rPr>
              <w:t>plani</w:t>
            </w:r>
            <w:r w:rsidR="00F15DF7">
              <w:rPr>
                <w:rFonts w:ascii="Book Antiqua" w:hAnsi="Book Antiqua"/>
              </w:rPr>
              <w:t>t</w:t>
            </w:r>
            <w:r w:rsidR="004F1A82" w:rsidRPr="00F17B4A">
              <w:rPr>
                <w:rFonts w:ascii="Book Antiqua" w:hAnsi="Book Antiqua"/>
              </w:rPr>
              <w:t xml:space="preserve"> </w:t>
            </w:r>
            <w:r w:rsidR="00F15DF7">
              <w:rPr>
                <w:rFonts w:ascii="Book Antiqua" w:hAnsi="Book Antiqua"/>
              </w:rPr>
              <w:t>te ri per rezistence</w:t>
            </w:r>
            <w:r>
              <w:rPr>
                <w:rFonts w:ascii="Book Antiqua" w:hAnsi="Book Antiqua"/>
              </w:rPr>
              <w:t>n</w:t>
            </w:r>
            <w:r w:rsidR="00F15DF7">
              <w:rPr>
                <w:rFonts w:ascii="Book Antiqua" w:hAnsi="Book Antiqua"/>
              </w:rPr>
              <w:t xml:space="preserve"> antimikrobike</w:t>
            </w:r>
          </w:p>
          <w:p w:rsidR="00781001" w:rsidRDefault="00781001" w:rsidP="00BB4474">
            <w:pPr>
              <w:rPr>
                <w:rFonts w:ascii="Book Antiqua" w:hAnsi="Book Antiqua"/>
              </w:rPr>
            </w:pPr>
          </w:p>
          <w:p w:rsidR="00781001" w:rsidRPr="00781001" w:rsidRDefault="00781001" w:rsidP="00781001">
            <w:pPr>
              <w:rPr>
                <w:rFonts w:ascii="Book Antiqua" w:hAnsi="Book Antiqua"/>
              </w:rPr>
            </w:pPr>
            <w:r w:rsidRPr="00781001">
              <w:rPr>
                <w:rFonts w:ascii="Book Antiqua" w:hAnsi="Book Antiqua"/>
              </w:rPr>
              <w:t>Rekrutimi i dy</w:t>
            </w:r>
          </w:p>
          <w:p w:rsidR="00781001" w:rsidRPr="00781001" w:rsidRDefault="00781001" w:rsidP="00781001">
            <w:pPr>
              <w:rPr>
                <w:rFonts w:ascii="Book Antiqua" w:hAnsi="Book Antiqua"/>
              </w:rPr>
            </w:pPr>
            <w:r w:rsidRPr="00781001">
              <w:rPr>
                <w:rFonts w:ascii="Book Antiqua" w:hAnsi="Book Antiqua"/>
              </w:rPr>
              <w:t>profesionistëve</w:t>
            </w:r>
          </w:p>
          <w:p w:rsidR="00781001" w:rsidRPr="00781001" w:rsidRDefault="00781001" w:rsidP="00781001">
            <w:pPr>
              <w:rPr>
                <w:rFonts w:ascii="Book Antiqua" w:hAnsi="Book Antiqua"/>
              </w:rPr>
            </w:pPr>
            <w:r w:rsidRPr="00781001">
              <w:rPr>
                <w:rFonts w:ascii="Book Antiqua" w:hAnsi="Book Antiqua"/>
              </w:rPr>
              <w:t>shëndetësorë në</w:t>
            </w:r>
          </w:p>
          <w:p w:rsidR="00781001" w:rsidRPr="00F17B4A" w:rsidRDefault="00781001" w:rsidP="00781001">
            <w:pPr>
              <w:rPr>
                <w:rFonts w:ascii="Book Antiqua" w:hAnsi="Book Antiqua"/>
              </w:rPr>
            </w:pPr>
            <w:r w:rsidRPr="00781001">
              <w:rPr>
                <w:rFonts w:ascii="Book Antiqua" w:hAnsi="Book Antiqua"/>
              </w:rPr>
              <w:t>zbatimin e planit</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15000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12000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12000</w:t>
            </w: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EA795C" w:rsidP="00BB4474">
            <w:pPr>
              <w:rPr>
                <w:rFonts w:ascii="Book Antiqua" w:hAnsi="Book Antiqua"/>
              </w:rPr>
            </w:pPr>
            <w:r>
              <w:rPr>
                <w:rFonts w:ascii="Book Antiqua" w:hAnsi="Book Antiqua"/>
              </w:rPr>
              <w:t>39000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IKSHPK, SHSKUK, MBZHR, MMPH, AUVK, FBV, SHFK</w:t>
            </w:r>
          </w:p>
        </w:tc>
        <w:tc>
          <w:tcPr>
            <w:tcW w:w="2089" w:type="dxa"/>
            <w:tcBorders>
              <w:top w:val="single" w:sz="4" w:space="0" w:color="auto"/>
              <w:left w:val="single" w:sz="4" w:space="0" w:color="auto"/>
              <w:bottom w:val="single" w:sz="4" w:space="0" w:color="auto"/>
              <w:right w:val="single" w:sz="4" w:space="0" w:color="auto"/>
            </w:tcBorders>
          </w:tcPr>
          <w:p w:rsidR="004F1A82" w:rsidRPr="00F17B4A" w:rsidRDefault="00F15DF7" w:rsidP="00F15DF7">
            <w:pPr>
              <w:rPr>
                <w:rFonts w:ascii="Book Antiqua" w:hAnsi="Book Antiqua"/>
              </w:rPr>
            </w:pPr>
            <w:r>
              <w:rPr>
                <w:rFonts w:ascii="Book Antiqua" w:hAnsi="Book Antiqua"/>
              </w:rPr>
              <w:t xml:space="preserve">Miratimi i planit dhe mbeshtetja financiare per realizimin e aktiviteteve </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Testimi vjetor i cilësisë së antibiotikeve  (INN) nga të gjitha nëngrupet e antibiotikëve të përdorur në vend</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9000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AKPPM</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MSH</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12 antibiotikë të testuar për cilësi në AKPPM</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Sigurimi i pajisjes për monitorimin terapeutik të antibiotikëve në mostrat biologjike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Dhjetor </w:t>
            </w:r>
            <w:r w:rsidR="00D8455B">
              <w:rPr>
                <w:rFonts w:ascii="Book Antiqua" w:hAnsi="Book Antiqua"/>
              </w:rPr>
              <w:t>2023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29000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SHSKUK</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Pajisja e siguruar për matjen e nivelit të antibiotikëve në gjak </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Përfshirja e Rezistencës antimikrobike si pjesë bazike e edukimit deridiplomik dhe të vazhdueshëm profesional</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Tetor </w:t>
            </w:r>
            <w:r w:rsidR="00D8455B">
              <w:rPr>
                <w:rFonts w:ascii="Book Antiqua" w:hAnsi="Book Antiqua"/>
              </w:rPr>
              <w:t>2023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1500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UP, IKSHPK, OMK</w:t>
            </w:r>
          </w:p>
        </w:tc>
        <w:tc>
          <w:tcPr>
            <w:tcW w:w="208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RAM i  integruar në kurrikulën e Fakultetit të Mjekësisë</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 xml:space="preserve">RAM i përfshirë në kurrikulën e (EVP) të profesionistëve shëndetësorë </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Trajnimi i profesionistëve shëndetësor për Programin e Kujdestarisë së Antibiotikëve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SHSKUK, QKMF</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Mbajtja e 15 trajnimeve: në 8 spitale dhe 8 QTMF</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Trajnimi i mikrobiologëve për përditësimet e testimit të antibiogramit</w:t>
            </w:r>
          </w:p>
        </w:tc>
        <w:tc>
          <w:tcPr>
            <w:tcW w:w="838"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7500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Realizimi i 3 trajnimeve vjetore</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Fuqizimi i bashkëpunimit rajonal dhe ndërkombëtar të AMR</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12000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12000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12000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36000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SHSKUK</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Realizimi i  9 vizitave studimore në shtetet fqinje dhe ato të BE</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Organizimi i  konferencës ndërkombëtare për AMR dhe HAI</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V2</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OMK</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Mbajtja e konferencës</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Realizimi i kërkimeve shkencore në fushat prioritare të AMR dhe HAI (skriningu, kostoja ekonomike, gjenotip</w:t>
            </w:r>
            <w:r w:rsidR="00F15DF7">
              <w:rPr>
                <w:rFonts w:ascii="Book Antiqua" w:hAnsi="Book Antiqua"/>
              </w:rPr>
              <w:t>izimi, W</w:t>
            </w:r>
            <w:r w:rsidRPr="00F17B4A">
              <w:rPr>
                <w:rFonts w:ascii="Book Antiqua" w:hAnsi="Book Antiqua"/>
              </w:rPr>
              <w:t>GS, NGS)</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60000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SHSKUK, QKMF</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Publikimi i të dhënave në revista shkencore ndërkombëtare</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6.1.1.2. Zbatoni në mënyrë efektive kornizen  ekzistuese ligjore që ndalon shitjen e antimikrobikëve pa recetë te mjekut.</w:t>
            </w: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Ngritja e kapaciteteve monitoruese të  Inspektoratit Farmaceutik dhe shëndetësor për zbatimin e kornizës ligjore që ndalon shitjen e antibiotikëve pa recetë të mjekut(02/2010)</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OFK</w:t>
            </w:r>
          </w:p>
        </w:tc>
        <w:tc>
          <w:tcPr>
            <w:tcW w:w="208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Barnatoret e inspektuara për zbatimin e ligjit dhe  masat e ndërrmarra  përkatëse nga Inspektorati (gjoba dhe mbyllje të barnatoreve)</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Përcaktimi i kornizës ligjore për mbikqyrjen e kompanive farmaceutike në aktivitetet promovuese të barnave dhe mbikqyrja e tyre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1200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1200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AKPPM</w:t>
            </w:r>
          </w:p>
        </w:tc>
        <w:tc>
          <w:tcPr>
            <w:tcW w:w="208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Projektligji për produkte dhe pajisje mjekësore i aprovuar </w:t>
            </w:r>
          </w:p>
          <w:p w:rsidR="004F1A82" w:rsidRPr="00F17B4A" w:rsidRDefault="004F1A82" w:rsidP="00BB4474">
            <w:pPr>
              <w:rPr>
                <w:rFonts w:ascii="Book Antiqua" w:hAnsi="Book Antiqua"/>
              </w:rPr>
            </w:pPr>
          </w:p>
        </w:tc>
      </w:tr>
      <w:tr w:rsidR="004F1A82" w:rsidRPr="00EA795C"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EA795C" w:rsidRDefault="004F1A82" w:rsidP="00BB4474">
            <w:pPr>
              <w:rPr>
                <w:rFonts w:ascii="Book Antiqua" w:hAnsi="Book Antiqua"/>
                <w:color w:val="FF0000"/>
              </w:rPr>
            </w:pPr>
            <w:r w:rsidRPr="00EA795C">
              <w:rPr>
                <w:rFonts w:ascii="Book Antiqua" w:hAnsi="Book Antiqua"/>
                <w:color w:val="FF0000"/>
              </w:rPr>
              <w:t>6.1.1.3. Zhvilloni dhe miratoni udhërrefyes klinik për përdorim racional të antibiotikëve, si pjesë e rekomandimeve për praktikën e mirë klinike, duke përfshirë diagnostikimin dhe menaxhimin</w:t>
            </w:r>
          </w:p>
        </w:tc>
        <w:tc>
          <w:tcPr>
            <w:tcW w:w="1946"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color w:val="FF0000"/>
              </w:rPr>
            </w:pPr>
            <w:r w:rsidRPr="00EA795C">
              <w:rPr>
                <w:rFonts w:ascii="Book Antiqua" w:hAnsi="Book Antiqua"/>
                <w:color w:val="FF0000"/>
              </w:rPr>
              <w:t>Hartimi i udhëzuesit praktik të përdorimit të antibiotikëve në kujdesin parësor shëndetësor</w:t>
            </w:r>
          </w:p>
        </w:tc>
        <w:tc>
          <w:tcPr>
            <w:tcW w:w="838"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color w:val="FF0000"/>
              </w:rPr>
            </w:pPr>
            <w:r w:rsidRPr="00EA795C">
              <w:rPr>
                <w:rFonts w:ascii="Book Antiqua" w:hAnsi="Book Antiqua"/>
                <w:color w:val="FF0000"/>
              </w:rPr>
              <w:t>V1</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EA795C">
            <w:pPr>
              <w:rPr>
                <w:rFonts w:ascii="Book Antiqua" w:hAnsi="Book Antiqua"/>
                <w:color w:val="FF0000"/>
              </w:rPr>
            </w:pPr>
            <w:r>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color w:val="FF0000"/>
              </w:rPr>
            </w:pPr>
            <w:r w:rsidRPr="00EA795C">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color w:val="FF0000"/>
              </w:rPr>
            </w:pPr>
            <w:r w:rsidRPr="00EA795C">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color w:val="FF0000"/>
              </w:rPr>
            </w:pPr>
            <w:r>
              <w:rPr>
                <w:rFonts w:ascii="Book Antiqua" w:hAnsi="Book Antiqua"/>
                <w:color w:val="FF0000"/>
              </w:rPr>
              <w:t>0</w:t>
            </w:r>
          </w:p>
        </w:tc>
        <w:tc>
          <w:tcPr>
            <w:tcW w:w="1310"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color w:val="FF0000"/>
              </w:rPr>
            </w:pPr>
            <w:r w:rsidRPr="00EA795C">
              <w:rPr>
                <w:rFonts w:ascii="Book Antiqua" w:hAnsi="Book Antiqua"/>
                <w:color w:val="FF0000"/>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color w:val="FF0000"/>
              </w:rPr>
            </w:pPr>
            <w:r w:rsidRPr="00EA795C">
              <w:rPr>
                <w:rFonts w:ascii="Book Antiqua" w:hAnsi="Book Antiqua"/>
                <w:color w:val="FF0000"/>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color w:val="FF0000"/>
              </w:rPr>
            </w:pPr>
            <w:r w:rsidRPr="00EA795C">
              <w:rPr>
                <w:rFonts w:ascii="Book Antiqua" w:hAnsi="Book Antiqua"/>
                <w:color w:val="FF0000"/>
              </w:rPr>
              <w:t>QKMF</w:t>
            </w:r>
          </w:p>
        </w:tc>
        <w:tc>
          <w:tcPr>
            <w:tcW w:w="2089"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color w:val="FF0000"/>
              </w:rPr>
            </w:pPr>
            <w:r w:rsidRPr="00EA795C">
              <w:rPr>
                <w:rFonts w:ascii="Book Antiqua" w:hAnsi="Book Antiqua"/>
                <w:color w:val="FF0000"/>
              </w:rPr>
              <w:t>Udhëzuesi i hartuar dhe zbatimi në kujdesin parësor  shëndetësor</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Hartimi i udhëzuesit praktik të përdorimit të antibiotikëve në spitale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V2</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SHSKUK</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Udhëzuesi i hartuar dhe zbatimi në nivelet e kujdesit dytësor e tretësor</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Hartimi i procedurave standarde operative per përdorimin profilaktik të antibiotikëve para intervenimeve kirurgjike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2600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SHSKUK, IKSHPK</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Procedurat standarde operative të hartuara dhe zbatuara në institucionet shëndetësore</w:t>
            </w:r>
          </w:p>
        </w:tc>
      </w:tr>
      <w:tr w:rsidR="004F1A82" w:rsidRPr="00EA795C"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EA795C" w:rsidRDefault="004F1A82" w:rsidP="00BB4474">
            <w:pPr>
              <w:rPr>
                <w:rFonts w:ascii="Book Antiqua" w:hAnsi="Book Antiqua"/>
                <w:b/>
                <w:color w:val="FF0000"/>
              </w:rPr>
            </w:pPr>
            <w:r w:rsidRPr="00EA795C">
              <w:rPr>
                <w:rFonts w:ascii="Book Antiqua" w:hAnsi="Book Antiqua"/>
                <w:b/>
                <w:color w:val="FF0000"/>
                <w:shd w:val="clear" w:color="auto" w:fill="C2D69B" w:themeFill="accent3" w:themeFillTint="99"/>
              </w:rPr>
              <w:t>6.1.1.4. Të forcohet kapaciteti laboratorik për zbulimin e AMR në të gjithë laboratorët e mikrobiologjisë klinike dhe të sigurohet një sistem i përshtatshëm i Sigurimit të Jashtëm të</w:t>
            </w:r>
            <w:r w:rsidRPr="00EA795C">
              <w:rPr>
                <w:rFonts w:ascii="Book Antiqua" w:hAnsi="Book Antiqua"/>
                <w:b/>
                <w:color w:val="FF0000"/>
              </w:rPr>
              <w:t xml:space="preserve"> Cilësisë në të gjithë laboratorët, përfshirë ato në sektorin privat.</w:t>
            </w:r>
          </w:p>
        </w:tc>
        <w:tc>
          <w:tcPr>
            <w:tcW w:w="1946"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Ngritja e kapaciteteve laboratorike në IKSHPK dhe laboratoret rajonale përmes investimeve kapitale dhe furnizimit të rregullt me reagjensë</w:t>
            </w:r>
          </w:p>
          <w:p w:rsidR="00EA795C" w:rsidRPr="00EA795C" w:rsidRDefault="00EA795C" w:rsidP="00BB4474">
            <w:pPr>
              <w:rPr>
                <w:rFonts w:ascii="Book Antiqua" w:hAnsi="Book Antiqua"/>
                <w:b/>
                <w:color w:val="FF0000"/>
              </w:rPr>
            </w:pPr>
            <w:r w:rsidRPr="00EA795C">
              <w:rPr>
                <w:rFonts w:ascii="Book Antiqua" w:hAnsi="Book Antiqua"/>
                <w:b/>
                <w:color w:val="FF0000"/>
              </w:rPr>
              <w:t>(PËRFSHIRË NË SEKSIONIN E LABORATORIT PIKA 5)</w:t>
            </w:r>
          </w:p>
        </w:tc>
        <w:tc>
          <w:tcPr>
            <w:tcW w:w="838"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sidRPr="00EA795C">
              <w:rPr>
                <w:rFonts w:ascii="Book Antiqua" w:hAnsi="Book Antiqua"/>
                <w:b/>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sidRPr="00EA795C">
              <w:rPr>
                <w:rFonts w:ascii="Book Antiqua" w:hAnsi="Book Antiqua"/>
                <w:b/>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sidRPr="00EA795C">
              <w:rPr>
                <w:rFonts w:ascii="Book Antiqua" w:hAnsi="Book Antiqua"/>
                <w:b/>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sidRPr="00EA795C">
              <w:rPr>
                <w:rFonts w:ascii="Book Antiqua" w:hAnsi="Book Antiqua"/>
                <w:b/>
                <w:color w:val="FF0000"/>
              </w:rPr>
              <w:t>0</w:t>
            </w:r>
          </w:p>
        </w:tc>
        <w:tc>
          <w:tcPr>
            <w:tcW w:w="1310"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sidRPr="00EA795C">
              <w:rPr>
                <w:rFonts w:ascii="Book Antiqua" w:hAnsi="Book Antiqua"/>
                <w:b/>
                <w:color w:val="FF0000"/>
              </w:rPr>
              <w:t>0</w:t>
            </w:r>
          </w:p>
        </w:tc>
        <w:tc>
          <w:tcPr>
            <w:tcW w:w="1199"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IKSHPK, SHSKUK</w:t>
            </w:r>
          </w:p>
        </w:tc>
        <w:tc>
          <w:tcPr>
            <w:tcW w:w="2089" w:type="dxa"/>
            <w:tcBorders>
              <w:top w:val="single" w:sz="4" w:space="0" w:color="auto"/>
              <w:left w:val="single" w:sz="4" w:space="0" w:color="auto"/>
              <w:bottom w:val="single" w:sz="4" w:space="0" w:color="auto"/>
              <w:right w:val="single" w:sz="4" w:space="0" w:color="auto"/>
            </w:tcBorders>
          </w:tcPr>
          <w:p w:rsidR="004F1A82" w:rsidRPr="00EA795C" w:rsidRDefault="004F1A82" w:rsidP="00BB4474">
            <w:pPr>
              <w:rPr>
                <w:rFonts w:ascii="Book Antiqua" w:hAnsi="Book Antiqua"/>
                <w:b/>
                <w:color w:val="FF0000"/>
              </w:rPr>
            </w:pPr>
            <w:r w:rsidRPr="00EA795C">
              <w:rPr>
                <w:rFonts w:ascii="Book Antiqua" w:hAnsi="Book Antiqua"/>
                <w:b/>
                <w:color w:val="FF0000"/>
              </w:rPr>
              <w:t>Furnizim me pajisje dhe reagjensë për rezistencë antimikrobike</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Mbikqyrja e profilit të rezistencës ndaj antimikrobikëve në laboratoret e mikrobiologjisë klinike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18500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18500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18500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55500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SHSKUK, QKMF</w:t>
            </w:r>
          </w:p>
        </w:tc>
        <w:tc>
          <w:tcPr>
            <w:tcW w:w="208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Raporti vjetor për RAM për mostrat klinike invazive (CAESAR) dhe joinvazive </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7D41C7">
              <w:rPr>
                <w:rFonts w:ascii="Book Antiqua" w:hAnsi="Book Antiqua"/>
              </w:rPr>
              <w:t>Përfshirja edhe 5 spitaleve publike në raportim</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 xml:space="preserve">Përfshirja në rrjetin GLASS të OBSH për mostrat e kujdesit parësor </w:t>
            </w:r>
          </w:p>
          <w:p w:rsidR="004F1A82" w:rsidRPr="00F17B4A" w:rsidRDefault="004F1A82" w:rsidP="00BB4474">
            <w:pPr>
              <w:rPr>
                <w:rFonts w:ascii="Book Antiqua" w:hAnsi="Book Antiqua"/>
              </w:rPr>
            </w:pPr>
          </w:p>
        </w:tc>
      </w:tr>
      <w:tr w:rsidR="004F1A82" w:rsidRPr="00EA795C"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EA795C" w:rsidRDefault="004F1A82" w:rsidP="00BB4474">
            <w:pPr>
              <w:rPr>
                <w:rFonts w:ascii="Book Antiqua" w:hAnsi="Book Antiqua"/>
                <w:b/>
                <w:color w:val="FF0000"/>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Instalimi i databazave të integruara në të gjitha laboratoret publike të mikrobiologjisë</w:t>
            </w:r>
            <w:r w:rsidR="00EA795C">
              <w:rPr>
                <w:rFonts w:ascii="Book Antiqua" w:hAnsi="Book Antiqua"/>
                <w:b/>
                <w:color w:val="FF0000"/>
              </w:rPr>
              <w:t xml:space="preserve"> (NË REALIZIM NGA KREDIA E BANKES BOTERORE)</w:t>
            </w:r>
          </w:p>
        </w:tc>
        <w:tc>
          <w:tcPr>
            <w:tcW w:w="838"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V1</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Pr>
                <w:rFonts w:ascii="Book Antiqua" w:hAnsi="Book Antiqua"/>
                <w:b/>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Pr>
                <w:rFonts w:ascii="Book Antiqua" w:hAnsi="Book Antiqua"/>
                <w:b/>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Pr>
                <w:rFonts w:ascii="Book Antiqua" w:hAnsi="Book Antiqua"/>
                <w:b/>
                <w:color w:val="FF0000"/>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EA795C" w:rsidRDefault="00EA795C" w:rsidP="00BB4474">
            <w:pPr>
              <w:rPr>
                <w:rFonts w:ascii="Book Antiqua" w:hAnsi="Book Antiqua"/>
                <w:b/>
                <w:color w:val="FF0000"/>
              </w:rPr>
            </w:pPr>
            <w:r>
              <w:rPr>
                <w:rFonts w:ascii="Book Antiqua" w:hAnsi="Book Antiqua"/>
                <w:b/>
                <w:color w:val="FF0000"/>
              </w:rPr>
              <w:t>0</w:t>
            </w:r>
          </w:p>
        </w:tc>
        <w:tc>
          <w:tcPr>
            <w:tcW w:w="1310"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IKSHPK, SHKUK</w:t>
            </w:r>
          </w:p>
        </w:tc>
        <w:tc>
          <w:tcPr>
            <w:tcW w:w="2089" w:type="dxa"/>
            <w:tcBorders>
              <w:top w:val="single" w:sz="4" w:space="0" w:color="auto"/>
              <w:left w:val="single" w:sz="4" w:space="0" w:color="auto"/>
              <w:bottom w:val="single" w:sz="4" w:space="0" w:color="auto"/>
              <w:right w:val="single" w:sz="4" w:space="0" w:color="auto"/>
            </w:tcBorders>
            <w:hideMark/>
          </w:tcPr>
          <w:p w:rsidR="004F1A82" w:rsidRPr="00EA795C" w:rsidRDefault="004F1A82" w:rsidP="00BB4474">
            <w:pPr>
              <w:rPr>
                <w:rFonts w:ascii="Book Antiqua" w:hAnsi="Book Antiqua"/>
                <w:b/>
                <w:color w:val="FF0000"/>
              </w:rPr>
            </w:pPr>
            <w:r w:rsidRPr="00EA795C">
              <w:rPr>
                <w:rFonts w:ascii="Book Antiqua" w:hAnsi="Book Antiqua"/>
                <w:b/>
                <w:color w:val="FF0000"/>
              </w:rPr>
              <w:t>Sistemi i Informimit Laboratorik i instaluar në të gjitha laboratoret publike të mikrobiologjisë</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Kontrolla e jashtme dhe e brendshme e cilësisë së 7 laboratoreve nga laboratori referent i IKSHPK</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16500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SHSKUK</w:t>
            </w:r>
          </w:p>
        </w:tc>
        <w:tc>
          <w:tcPr>
            <w:tcW w:w="208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Pjesëmarrja e Kosovës në EQA</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Kontrolli i brendshëm i cilësisë</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Përfshirja edhe e laboratoreve private në kontrollin e cilësisë</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6.1.1.5. Të fuqizohet mbikëqyrja dhe analiza e konsumit te antimikrobikeve si në kujdesin paresor, ashtu edhe në spitale</w:t>
            </w: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Mbikqyrja dhe analiza e të dhënave për konsumin e antibiotikëve në nivel të AKPPM, spitaleve dhe kujdesit parësor shëndetësor</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7500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14500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AKPPM, SHSKUK, QKMF, MFTMS</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Raportet dhe publikimet shkencore të të dhënave të konsumit të antibiotikëve në të gjitha nivelet e kujdesit shëndetësor dhe në shtëpitë e të moshuarve</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Mbikqyrja e përdorimit të antibiotikëve te pacientët me COVID</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V1-TM1</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3500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Raporti i publikuar</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6.1.1.6. Zbatimi i një advokimi intensiv për përdorimin racional të antimikrobikëve drejtuar publikut të gjerë</w:t>
            </w: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Promovimi i përdorimit korrekt të antibiotikëve tek popullata përmes mesazheve promovuese në TV, radio dhe rrjete sociale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35000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35000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35000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105000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SHSKUK, QKMF, AKS</w:t>
            </w:r>
          </w:p>
        </w:tc>
        <w:tc>
          <w:tcPr>
            <w:tcW w:w="208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Materialet promovuese të shpërndara në të gjitha nivelet e kujdesit shëndetësor </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Vendosja e panove reklamuese në vende publike nëpër qytetet e Kosovës gjatë sezonit dimëror</w:t>
            </w:r>
          </w:p>
          <w:p w:rsidR="004F1A82" w:rsidRPr="00F17B4A" w:rsidRDefault="004F1A82" w:rsidP="00BB4474">
            <w:pPr>
              <w:rPr>
                <w:rFonts w:ascii="Book Antiqua" w:hAnsi="Book Antiqua"/>
              </w:rPr>
            </w:pP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Vendosja e shenjëzimeve vetëdijësuesE në pakot e antibitikëve</w:t>
            </w:r>
          </w:p>
        </w:tc>
        <w:tc>
          <w:tcPr>
            <w:tcW w:w="838"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1310"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119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1222"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Shenjëzimet  vetëdijësuese në pakot e antibiotikëve (është krijuar baza ligjore me AKPPM lidhur me paketimin e antibiotikëve)</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Shënimi i Javës Globale të Vetëdijesimit për Antibiotikë (gjatë javës së tretë të Nëntorit)</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7500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OBSH, BE</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Shpërndarja e materialeve vetëdijësuese (IEK)</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Promovimi i pakos edukative në gjuhën shqipe “E-bug” në shkollat fillore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3300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3300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3300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9900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MASH, AKS</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Aktivitete promovuese në shkollat fillore</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w:t>
            </w:r>
            <w:r w:rsidRPr="00EA0B88">
              <w:rPr>
                <w:rFonts w:ascii="Book Antiqua" w:hAnsi="Book Antiqua"/>
                <w:shd w:val="clear" w:color="auto" w:fill="C2D69B" w:themeFill="accent3" w:themeFillTint="99"/>
              </w:rPr>
              <w:t>.1.1.7. Fuqizimi i mbikëqyrjes së përdorimit te antimikrobikeve tek kafshët për zhvillimin e politikave te përdorimit te antimikrobikeve</w:t>
            </w:r>
            <w:r w:rsidRPr="00F17B4A">
              <w:rPr>
                <w:rFonts w:ascii="Book Antiqua" w:hAnsi="Book Antiqua"/>
              </w:rPr>
              <w:t xml:space="preserve"> ne sektorin e veterinarise</w:t>
            </w: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Mbikqyrja e përdorimit të antibiotikëve në sektorin e veterinarisë</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1310"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1199"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1222" w:type="dxa"/>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Të dhënat e disponueshme për përdorimin e antibiotikëbee në veterinari</w:t>
            </w:r>
          </w:p>
        </w:tc>
      </w:tr>
      <w:tr w:rsidR="004F1A82"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Trajnimi i profesionistëve të mjekësisë veterinere për përdorimin e drejtë të antibiotikëve</w:t>
            </w:r>
          </w:p>
        </w:tc>
        <w:tc>
          <w:tcPr>
            <w:tcW w:w="838"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v-1</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7500</w:t>
            </w:r>
          </w:p>
        </w:tc>
        <w:tc>
          <w:tcPr>
            <w:tcW w:w="1310"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AUVK</w:t>
            </w:r>
          </w:p>
        </w:tc>
        <w:tc>
          <w:tcPr>
            <w:tcW w:w="2089" w:type="dxa"/>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Mbajtja e trajnimeve </w:t>
            </w:r>
          </w:p>
        </w:tc>
      </w:tr>
      <w:tr w:rsidR="004F1A82" w:rsidRPr="00F17B4A" w:rsidTr="00EA0B88">
        <w:tc>
          <w:tcPr>
            <w:tcW w:w="12950" w:type="dxa"/>
            <w:gridSpan w:val="11"/>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F1A82" w:rsidRPr="00F17B4A" w:rsidRDefault="004F1A82" w:rsidP="00EA0B88">
            <w:pPr>
              <w:shd w:val="clear" w:color="auto" w:fill="FBD4B4" w:themeFill="accent6" w:themeFillTint="66"/>
              <w:rPr>
                <w:rFonts w:ascii="Book Antiqua" w:hAnsi="Book Antiqua"/>
              </w:rPr>
            </w:pPr>
            <w:r w:rsidRPr="00F17B4A">
              <w:rPr>
                <w:rFonts w:ascii="Book Antiqua" w:hAnsi="Book Antiqua"/>
              </w:rPr>
              <w:t>6.2. INFEKSIONET GJATE KUJDESIT SHENDETESOR</w:t>
            </w:r>
          </w:p>
          <w:p w:rsidR="004F1A82" w:rsidRPr="00F17B4A" w:rsidRDefault="004F1A82" w:rsidP="00EA0B88">
            <w:pPr>
              <w:shd w:val="clear" w:color="auto" w:fill="FBD4B4" w:themeFill="accent6" w:themeFillTint="66"/>
              <w:rPr>
                <w:rFonts w:ascii="Book Antiqua" w:hAnsi="Book Antiqua"/>
              </w:rPr>
            </w:pPr>
            <w:r w:rsidRPr="00F17B4A">
              <w:rPr>
                <w:rFonts w:ascii="Book Antiqua" w:hAnsi="Book Antiqua"/>
              </w:rPr>
              <w:t>Objektivi specifik: Mbrojtja e pacientëve, punëtorëve shëndetësorë dhe vizitorëve gjatë ofrimit të kujdesit shëndetësor</w:t>
            </w:r>
          </w:p>
          <w:p w:rsidR="004F1A82" w:rsidRPr="00F17B4A" w:rsidRDefault="004F1A82" w:rsidP="00BB4474">
            <w:pPr>
              <w:rPr>
                <w:rFonts w:ascii="Book Antiqua" w:hAnsi="Book Antiqua"/>
              </w:rPr>
            </w:pPr>
          </w:p>
        </w:tc>
      </w:tr>
      <w:tr w:rsidR="00F15DF7" w:rsidRPr="00EA795C"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15DF7" w:rsidRPr="00EA795C" w:rsidRDefault="00F15DF7" w:rsidP="00F15DF7">
            <w:pPr>
              <w:rPr>
                <w:rFonts w:ascii="Book Antiqua" w:hAnsi="Book Antiqua"/>
                <w:color w:val="FF0000"/>
              </w:rPr>
            </w:pPr>
            <w:r w:rsidRPr="00EA795C">
              <w:rPr>
                <w:rFonts w:ascii="Book Antiqua" w:hAnsi="Book Antiqua"/>
                <w:color w:val="FF0000"/>
              </w:rPr>
              <w:t>6.1.2.1. Miratimi dhe fillimi i menjëhershëm i zbatimit të draft Planit Kombëtar të Veprimit për IGJKSH, duke ofruar mbështetje financiare</w:t>
            </w:r>
          </w:p>
        </w:tc>
        <w:tc>
          <w:tcPr>
            <w:tcW w:w="1946" w:type="dxa"/>
            <w:tcBorders>
              <w:top w:val="single" w:sz="4" w:space="0" w:color="auto"/>
              <w:left w:val="single" w:sz="4" w:space="0" w:color="auto"/>
              <w:bottom w:val="single" w:sz="4" w:space="0" w:color="auto"/>
              <w:right w:val="single" w:sz="4" w:space="0" w:color="auto"/>
            </w:tcBorders>
            <w:hideMark/>
          </w:tcPr>
          <w:p w:rsidR="00F15DF7" w:rsidRPr="00EA795C" w:rsidRDefault="00ED25CD" w:rsidP="00781001">
            <w:pPr>
              <w:rPr>
                <w:rFonts w:ascii="Book Antiqua" w:hAnsi="Book Antiqua"/>
                <w:color w:val="FF0000"/>
              </w:rPr>
            </w:pPr>
            <w:r w:rsidRPr="00EA795C">
              <w:rPr>
                <w:rFonts w:ascii="Book Antiqua" w:hAnsi="Book Antiqua"/>
                <w:color w:val="FF0000"/>
              </w:rPr>
              <w:t xml:space="preserve">Hartimi i </w:t>
            </w:r>
            <w:r w:rsidR="00F15DF7" w:rsidRPr="00EA795C">
              <w:rPr>
                <w:rFonts w:ascii="Book Antiqua" w:hAnsi="Book Antiqua"/>
                <w:color w:val="FF0000"/>
              </w:rPr>
              <w:t>Plani</w:t>
            </w:r>
            <w:r w:rsidRPr="00EA795C">
              <w:rPr>
                <w:rFonts w:ascii="Book Antiqua" w:hAnsi="Book Antiqua"/>
                <w:color w:val="FF0000"/>
              </w:rPr>
              <w:t>t të</w:t>
            </w:r>
            <w:r w:rsidR="00F15DF7" w:rsidRPr="00EA795C">
              <w:rPr>
                <w:rFonts w:ascii="Book Antiqua" w:hAnsi="Book Antiqua"/>
                <w:color w:val="FF0000"/>
              </w:rPr>
              <w:t xml:space="preserve"> </w:t>
            </w:r>
            <w:r w:rsidRPr="00EA795C">
              <w:rPr>
                <w:rFonts w:ascii="Book Antiqua" w:hAnsi="Book Antiqua"/>
                <w:color w:val="FF0000"/>
              </w:rPr>
              <w:t>veprimit pë</w:t>
            </w:r>
            <w:r w:rsidR="00781001" w:rsidRPr="00EA795C">
              <w:rPr>
                <w:rFonts w:ascii="Book Antiqua" w:hAnsi="Book Antiqua"/>
                <w:color w:val="FF0000"/>
              </w:rPr>
              <w:t>r infeksionet gjate kujdesit shendetesor</w:t>
            </w:r>
          </w:p>
        </w:tc>
        <w:tc>
          <w:tcPr>
            <w:tcW w:w="838" w:type="dxa"/>
            <w:tcBorders>
              <w:top w:val="single" w:sz="4" w:space="0" w:color="auto"/>
              <w:left w:val="single" w:sz="4" w:space="0" w:color="auto"/>
              <w:bottom w:val="single" w:sz="4" w:space="0" w:color="auto"/>
              <w:right w:val="single" w:sz="4" w:space="0" w:color="auto"/>
            </w:tcBorders>
          </w:tcPr>
          <w:p w:rsidR="00F15DF7" w:rsidRPr="00EA795C" w:rsidRDefault="00781001" w:rsidP="00F15DF7">
            <w:pPr>
              <w:rPr>
                <w:rFonts w:ascii="Book Antiqua" w:hAnsi="Book Antiqua"/>
                <w:color w:val="FF0000"/>
              </w:rPr>
            </w:pPr>
            <w:r w:rsidRPr="00EA795C">
              <w:rPr>
                <w:rFonts w:ascii="Book Antiqua" w:hAnsi="Book Antiqua"/>
                <w:color w:val="FF0000"/>
              </w:rPr>
              <w:t>V-1</w:t>
            </w:r>
          </w:p>
        </w:tc>
        <w:tc>
          <w:tcPr>
            <w:tcW w:w="724" w:type="dxa"/>
            <w:tcBorders>
              <w:top w:val="single" w:sz="4" w:space="0" w:color="auto"/>
              <w:left w:val="single" w:sz="4" w:space="0" w:color="auto"/>
              <w:bottom w:val="single" w:sz="4" w:space="0" w:color="auto"/>
              <w:right w:val="single" w:sz="4" w:space="0" w:color="auto"/>
            </w:tcBorders>
          </w:tcPr>
          <w:p w:rsidR="00F15DF7" w:rsidRPr="00EA795C" w:rsidRDefault="00EA795C" w:rsidP="00F15DF7">
            <w:pPr>
              <w:rPr>
                <w:rFonts w:ascii="Book Antiqua" w:hAnsi="Book Antiqua"/>
                <w:color w:val="FF0000"/>
              </w:rPr>
            </w:pPr>
            <w:r>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tcPr>
          <w:p w:rsidR="00F15DF7" w:rsidRPr="00EA795C" w:rsidRDefault="00781001" w:rsidP="00F15DF7">
            <w:pPr>
              <w:rPr>
                <w:rFonts w:ascii="Book Antiqua" w:hAnsi="Book Antiqua"/>
                <w:color w:val="FF0000"/>
              </w:rPr>
            </w:pPr>
            <w:r w:rsidRPr="00EA795C">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tcPr>
          <w:p w:rsidR="00F15DF7" w:rsidRPr="00EA795C" w:rsidRDefault="00781001" w:rsidP="00F15DF7">
            <w:pPr>
              <w:rPr>
                <w:rFonts w:ascii="Book Antiqua" w:hAnsi="Book Antiqua"/>
                <w:color w:val="FF0000"/>
              </w:rPr>
            </w:pPr>
            <w:r w:rsidRPr="00EA795C">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tcPr>
          <w:p w:rsidR="00F15DF7" w:rsidRPr="00EA795C" w:rsidRDefault="00EA795C" w:rsidP="00F15DF7">
            <w:pPr>
              <w:rPr>
                <w:rFonts w:ascii="Book Antiqua" w:hAnsi="Book Antiqua"/>
                <w:color w:val="FF0000"/>
              </w:rPr>
            </w:pPr>
            <w:r>
              <w:rPr>
                <w:rFonts w:ascii="Book Antiqua" w:hAnsi="Book Antiqua"/>
                <w:color w:val="FF0000"/>
              </w:rPr>
              <w:t>0</w:t>
            </w:r>
          </w:p>
        </w:tc>
        <w:tc>
          <w:tcPr>
            <w:tcW w:w="1310" w:type="dxa"/>
            <w:tcBorders>
              <w:top w:val="single" w:sz="4" w:space="0" w:color="auto"/>
              <w:left w:val="single" w:sz="4" w:space="0" w:color="auto"/>
              <w:bottom w:val="single" w:sz="4" w:space="0" w:color="auto"/>
              <w:right w:val="single" w:sz="4" w:space="0" w:color="auto"/>
            </w:tcBorders>
          </w:tcPr>
          <w:p w:rsidR="00F15DF7" w:rsidRPr="00EA795C" w:rsidRDefault="00F15DF7" w:rsidP="00F15DF7">
            <w:pPr>
              <w:rPr>
                <w:rFonts w:ascii="Book Antiqua" w:hAnsi="Book Antiqua"/>
                <w:color w:val="FF0000"/>
              </w:rPr>
            </w:pPr>
          </w:p>
        </w:tc>
        <w:tc>
          <w:tcPr>
            <w:tcW w:w="1199" w:type="dxa"/>
            <w:tcBorders>
              <w:top w:val="single" w:sz="4" w:space="0" w:color="auto"/>
              <w:left w:val="single" w:sz="4" w:space="0" w:color="auto"/>
              <w:bottom w:val="single" w:sz="4" w:space="0" w:color="auto"/>
              <w:right w:val="single" w:sz="4" w:space="0" w:color="auto"/>
            </w:tcBorders>
          </w:tcPr>
          <w:p w:rsidR="00F15DF7" w:rsidRPr="00EA795C" w:rsidRDefault="00781001" w:rsidP="00F15DF7">
            <w:pPr>
              <w:rPr>
                <w:rFonts w:ascii="Book Antiqua" w:hAnsi="Book Antiqua"/>
                <w:color w:val="FF0000"/>
              </w:rPr>
            </w:pPr>
            <w:r w:rsidRPr="00EA795C">
              <w:rPr>
                <w:rFonts w:ascii="Book Antiqua" w:hAnsi="Book Antiqua"/>
                <w:color w:val="FF0000"/>
              </w:rPr>
              <w:t>MSH</w:t>
            </w:r>
          </w:p>
        </w:tc>
        <w:tc>
          <w:tcPr>
            <w:tcW w:w="1222" w:type="dxa"/>
            <w:tcBorders>
              <w:top w:val="single" w:sz="4" w:space="0" w:color="auto"/>
              <w:left w:val="single" w:sz="4" w:space="0" w:color="auto"/>
              <w:bottom w:val="single" w:sz="4" w:space="0" w:color="auto"/>
              <w:right w:val="single" w:sz="4" w:space="0" w:color="auto"/>
            </w:tcBorders>
          </w:tcPr>
          <w:p w:rsidR="00F15DF7" w:rsidRPr="00EA795C" w:rsidRDefault="00781001" w:rsidP="00F15DF7">
            <w:pPr>
              <w:rPr>
                <w:rFonts w:ascii="Book Antiqua" w:hAnsi="Book Antiqua"/>
                <w:color w:val="FF0000"/>
              </w:rPr>
            </w:pPr>
            <w:r w:rsidRPr="00EA795C">
              <w:rPr>
                <w:rFonts w:ascii="Book Antiqua" w:hAnsi="Book Antiqua"/>
                <w:color w:val="FF0000"/>
              </w:rPr>
              <w:t>IKSHPK, SHSKUK, QKMF, AVUK</w:t>
            </w:r>
          </w:p>
        </w:tc>
        <w:tc>
          <w:tcPr>
            <w:tcW w:w="2089" w:type="dxa"/>
            <w:tcBorders>
              <w:top w:val="single" w:sz="4" w:space="0" w:color="auto"/>
              <w:left w:val="single" w:sz="4" w:space="0" w:color="auto"/>
              <w:bottom w:val="single" w:sz="4" w:space="0" w:color="auto"/>
              <w:right w:val="single" w:sz="4" w:space="0" w:color="auto"/>
            </w:tcBorders>
          </w:tcPr>
          <w:p w:rsidR="00F15DF7" w:rsidRPr="00EA795C" w:rsidRDefault="00F15DF7" w:rsidP="00781001">
            <w:pPr>
              <w:rPr>
                <w:rFonts w:ascii="Book Antiqua" w:hAnsi="Book Antiqua"/>
                <w:color w:val="FF0000"/>
              </w:rPr>
            </w:pPr>
            <w:r w:rsidRPr="00EA795C">
              <w:rPr>
                <w:rFonts w:ascii="Book Antiqua" w:hAnsi="Book Antiqua"/>
                <w:color w:val="FF0000"/>
              </w:rPr>
              <w:t xml:space="preserve">Plani i veprimit i miratuar </w:t>
            </w:r>
            <w:r w:rsidR="00781001" w:rsidRPr="00EA795C">
              <w:rPr>
                <w:rFonts w:ascii="Book Antiqua" w:hAnsi="Book Antiqua"/>
                <w:color w:val="FF0000"/>
              </w:rPr>
              <w:t>dhe ka mbeshtetje financiare</w:t>
            </w:r>
          </w:p>
        </w:tc>
      </w:tr>
      <w:tr w:rsidR="00F15DF7" w:rsidRPr="008D6852"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8D6852" w:rsidRDefault="00F15DF7" w:rsidP="00F15DF7">
            <w:pPr>
              <w:rPr>
                <w:rFonts w:ascii="Book Antiqua" w:hAnsi="Book Antiqua"/>
                <w:color w:val="FF0000"/>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Vaksinimi i punëtorëve shëndetësorë me vaksina kundër hepatitit B dhe gripit*</w:t>
            </w:r>
          </w:p>
        </w:tc>
        <w:tc>
          <w:tcPr>
            <w:tcW w:w="838"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20000</w:t>
            </w:r>
          </w:p>
        </w:tc>
        <w:tc>
          <w:tcPr>
            <w:tcW w:w="724"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2000</w:t>
            </w:r>
          </w:p>
        </w:tc>
        <w:tc>
          <w:tcPr>
            <w:tcW w:w="724"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20000</w:t>
            </w:r>
          </w:p>
        </w:tc>
        <w:tc>
          <w:tcPr>
            <w:tcW w:w="724" w:type="dxa"/>
            <w:tcBorders>
              <w:top w:val="single" w:sz="4" w:space="0" w:color="auto"/>
              <w:left w:val="single" w:sz="4" w:space="0" w:color="auto"/>
              <w:bottom w:val="single" w:sz="4" w:space="0" w:color="auto"/>
              <w:right w:val="single" w:sz="4" w:space="0" w:color="auto"/>
            </w:tcBorders>
            <w:hideMark/>
          </w:tcPr>
          <w:p w:rsidR="00F15DF7" w:rsidRPr="008D6852" w:rsidRDefault="008D6852" w:rsidP="00F15DF7">
            <w:pPr>
              <w:rPr>
                <w:rFonts w:ascii="Book Antiqua" w:hAnsi="Book Antiqua"/>
                <w:color w:val="FF0000"/>
              </w:rPr>
            </w:pPr>
            <w:r>
              <w:rPr>
                <w:rFonts w:ascii="Book Antiqua" w:hAnsi="Book Antiqua"/>
                <w:color w:val="FF0000"/>
              </w:rPr>
              <w:t>6</w:t>
            </w:r>
            <w:r w:rsidR="00F15DF7" w:rsidRPr="008D6852">
              <w:rPr>
                <w:rFonts w:ascii="Book Antiqua" w:hAnsi="Book Antiqua"/>
                <w:color w:val="FF0000"/>
              </w:rPr>
              <w:t>000</w:t>
            </w:r>
            <w:r>
              <w:rPr>
                <w:rFonts w:ascii="Book Antiqua" w:hAnsi="Book Antiqua"/>
                <w:color w:val="FF0000"/>
              </w:rPr>
              <w:t>0</w:t>
            </w:r>
          </w:p>
        </w:tc>
        <w:tc>
          <w:tcPr>
            <w:tcW w:w="1310"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BK</w:t>
            </w:r>
          </w:p>
        </w:tc>
        <w:tc>
          <w:tcPr>
            <w:tcW w:w="1199"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IKSHPK, SHSKUK, QKMF</w:t>
            </w:r>
          </w:p>
        </w:tc>
        <w:tc>
          <w:tcPr>
            <w:tcW w:w="2089" w:type="dxa"/>
            <w:tcBorders>
              <w:top w:val="single" w:sz="4" w:space="0" w:color="auto"/>
              <w:left w:val="single" w:sz="4" w:space="0" w:color="auto"/>
              <w:bottom w:val="single" w:sz="4" w:space="0" w:color="auto"/>
              <w:right w:val="single" w:sz="4" w:space="0" w:color="auto"/>
            </w:tcBorders>
            <w:hideMark/>
          </w:tcPr>
          <w:p w:rsidR="00F15DF7" w:rsidRPr="008D6852" w:rsidRDefault="00F15DF7" w:rsidP="00F15DF7">
            <w:pPr>
              <w:rPr>
                <w:rFonts w:ascii="Book Antiqua" w:hAnsi="Book Antiqua"/>
                <w:color w:val="FF0000"/>
              </w:rPr>
            </w:pPr>
            <w:r w:rsidRPr="008D6852">
              <w:rPr>
                <w:rFonts w:ascii="Book Antiqua" w:hAnsi="Book Antiqua"/>
                <w:color w:val="FF0000"/>
              </w:rPr>
              <w:t>Punëtorët shëndetësorë janë vaksinuar kundër hepatitit B dhe gripit</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 xml:space="preserve">Hartimi i kurrikulit trajnues në fushën e kontrollit të infeksioneve dhe përfshirja e tij në edukimin deridiplomik dhe edukimin e vazhdueshëm </w:t>
            </w:r>
            <w:r w:rsidR="00781001">
              <w:rPr>
                <w:rFonts w:ascii="Book Antiqua" w:hAnsi="Book Antiqua"/>
              </w:rPr>
              <w:t>professional</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1000</w:t>
            </w:r>
          </w:p>
        </w:tc>
        <w:tc>
          <w:tcPr>
            <w:tcW w:w="724" w:type="dxa"/>
            <w:tcBorders>
              <w:top w:val="single" w:sz="4" w:space="0" w:color="auto"/>
              <w:left w:val="single" w:sz="4" w:space="0" w:color="auto"/>
              <w:bottom w:val="single" w:sz="4" w:space="0" w:color="auto"/>
              <w:right w:val="single" w:sz="4" w:space="0" w:color="auto"/>
            </w:tcBorders>
          </w:tcPr>
          <w:p w:rsidR="00F15DF7" w:rsidRPr="00F17B4A" w:rsidRDefault="002E0946" w:rsidP="00F15DF7">
            <w:pPr>
              <w:rPr>
                <w:rFonts w:ascii="Book Antiqua" w:hAnsi="Book Antiqua"/>
              </w:rPr>
            </w:pPr>
            <w:r>
              <w:rPr>
                <w:rFonts w:ascii="Book Antiqua" w:hAnsi="Book Antiqua"/>
              </w:rPr>
              <w:t>5000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UP-FM, IKSHPK, SHSKUK, QKMF</w:t>
            </w:r>
          </w:p>
          <w:p w:rsidR="00F15DF7" w:rsidRPr="00F17B4A" w:rsidRDefault="00F15DF7" w:rsidP="00F15DF7">
            <w:pPr>
              <w:rPr>
                <w:rFonts w:ascii="Book Antiqua" w:hAnsi="Book Antiqua"/>
              </w:rPr>
            </w:pPr>
          </w:p>
        </w:tc>
        <w:tc>
          <w:tcPr>
            <w:tcW w:w="2089"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Kurrikula e përgatitur për PKI, e cila zbatohet në praktikë</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 xml:space="preserve">Institucionet e Arsimit të Lartë kanë përfshirë si lëndë zgjedhore parandalimin dhe kontrollin einfeksioneve </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Shënimi i Ditës Botërore të Higjienës së Duarve (5 Maj)</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4500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OBSH, IKSHPK</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Dita e Higjienës së duarve është mbajtur dhe janë shpërndarë  materiale promovuese</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Pr>
                <w:rFonts w:ascii="Book Antiqua" w:hAnsi="Book Antiqua"/>
              </w:rPr>
              <w:t>Adaptimi i</w:t>
            </w:r>
            <w:r w:rsidRPr="00F17B4A">
              <w:rPr>
                <w:rFonts w:ascii="Book Antiqua" w:hAnsi="Book Antiqua"/>
              </w:rPr>
              <w:t xml:space="preserve"> aktiviteteve të strategjisë multimodale në PKI sipas OBSh-së</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4500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OBSH, SHSKUK, QKMF</w:t>
            </w:r>
          </w:p>
        </w:tc>
        <w:tc>
          <w:tcPr>
            <w:tcW w:w="1222"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089"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Raporte për kompliansën e higjienës së duarve, sepsën spitalore, pneumoninë ventilatore dhe infeksionet multirezistente;</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Raporte për zbatimin e intervenimeve multimodale</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15DF7" w:rsidRPr="00F17B4A" w:rsidRDefault="00F15DF7" w:rsidP="00F15DF7">
            <w:pPr>
              <w:rPr>
                <w:rFonts w:ascii="Book Antiqua" w:hAnsi="Book Antiqua"/>
              </w:rPr>
            </w:pPr>
            <w:r w:rsidRPr="00F17B4A">
              <w:rPr>
                <w:rFonts w:ascii="Book Antiqua" w:hAnsi="Book Antiqua"/>
              </w:rPr>
              <w:t xml:space="preserve">6.1.2.2. Përditësoni kornizen rregullatore për HAI-n, duke përfshirë referenca të përshtatshme për HAI-n në Ligjin për Luftën kundër Sëmundjeve Infektive. </w:t>
            </w:r>
          </w:p>
          <w:p w:rsidR="00F15DF7" w:rsidRPr="00F17B4A" w:rsidRDefault="00F15DF7" w:rsidP="00F15DF7">
            <w:pPr>
              <w:rPr>
                <w:rFonts w:ascii="Book Antiqua" w:hAnsi="Book Antiqua"/>
              </w:rPr>
            </w:pPr>
            <w:r w:rsidRPr="00F17B4A">
              <w:rPr>
                <w:rFonts w:ascii="Book Antiqua" w:hAnsi="Book Antiqua"/>
              </w:rPr>
              <w:t>Sigurohuni që të përdorni koncepte dhe terminologji moderne, p.sh. infeksione të lidhura me kujdesin shëndetësor në vend të infeksioneve brendaspitalore</w:t>
            </w: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Plotësim-ndryshimi i UA 05/2011 për parandalimin e infeksioneve spitalore</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3000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IKSHPK, SHSKUK, QKMF, OBSH, ECDC</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 xml:space="preserve">UA I aprovuar </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15DF7" w:rsidRPr="00F17B4A" w:rsidRDefault="00F15DF7" w:rsidP="00F15DF7">
            <w:pPr>
              <w:rPr>
                <w:rFonts w:ascii="Book Antiqua" w:hAnsi="Book Antiqua"/>
              </w:rPr>
            </w:pPr>
            <w:r w:rsidRPr="00F17B4A">
              <w:rPr>
                <w:rFonts w:ascii="Book Antiqua" w:hAnsi="Book Antiqua"/>
              </w:rPr>
              <w:t>6.1.2.3. Forcimi, trainimi dhe monitorimi i aktiviteteve të institucineve shendetesore lidhur me IGJKSH, duke përfshirë rekrutimin dhe trajnimin e infermierëve të kontrollit të infeksionit.</w:t>
            </w: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Pr>
                <w:rFonts w:ascii="Book Antiqua" w:hAnsi="Book Antiqua"/>
              </w:rPr>
              <w:t xml:space="preserve">Zbatimi i </w:t>
            </w:r>
            <w:r w:rsidRPr="00F17B4A">
              <w:rPr>
                <w:rFonts w:ascii="Book Antiqua" w:hAnsi="Book Antiqua"/>
              </w:rPr>
              <w:t>standard</w:t>
            </w:r>
            <w:r w:rsidR="00781001">
              <w:rPr>
                <w:rFonts w:ascii="Book Antiqua" w:hAnsi="Book Antiqua"/>
              </w:rPr>
              <w:t>eve nderkombetare (1 infermier i</w:t>
            </w:r>
            <w:r w:rsidRPr="00F17B4A">
              <w:rPr>
                <w:rFonts w:ascii="Book Antiqua" w:hAnsi="Book Antiqua"/>
              </w:rPr>
              <w:t xml:space="preserve"> kontrollit te infeksioneve ne 250 shtreter)</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65000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65000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65000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195000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SHSKUK</w:t>
            </w:r>
          </w:p>
        </w:tc>
        <w:tc>
          <w:tcPr>
            <w:tcW w:w="2089"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Punësimi/risistematizmi  i infermierëve të rinj në spitalet e Kosovës</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(4006 shtretër)</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Monitorimi i praktikave të kontrollit të infeksioneve spitalore</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ISH, IKSHPK</w:t>
            </w:r>
          </w:p>
        </w:tc>
        <w:tc>
          <w:tcPr>
            <w:tcW w:w="2089"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Raportet vjetore të monitorimit dhe vlerësimit dhe sipas kërkesës së institucioneve relevante</w:t>
            </w:r>
          </w:p>
          <w:p w:rsidR="00F15DF7" w:rsidRPr="00F17B4A" w:rsidRDefault="00F15DF7" w:rsidP="00F15DF7">
            <w:pPr>
              <w:rPr>
                <w:rFonts w:ascii="Book Antiqua" w:hAnsi="Book Antiqua"/>
              </w:rPr>
            </w:pP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Trajnimi i punëtorëve shëndetësorë për parandalimin dhe kontrollin e infeksioneve</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5000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5000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5000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15000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SHSKUK, IKSHPK,ISH, QKMF</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Mbajtja e trajnimit në 8 spitale dhe në 7 QTMF</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Trajnimet periodike të stafit  jomjekësor për parimet themelore të PKI</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2500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7500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SHSKUK, QKMF</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Mbajtja e trajnimit në 8 spitale dhe në 7 QTMF</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Mbikqyrja e infeksioneve spitalore sipas kritereve të UA 05/2011</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2000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2000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2000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6000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 DONATORËT</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SHSKUK, IKSHPK</w:t>
            </w:r>
          </w:p>
        </w:tc>
        <w:tc>
          <w:tcPr>
            <w:tcW w:w="2089"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Përcaktimi i prevalencës dhe incidencës së infeksioneve dhe ndërmarrja e masave përkatëse.</w:t>
            </w:r>
          </w:p>
          <w:p w:rsidR="00F15DF7" w:rsidRPr="00F17B4A" w:rsidRDefault="00F15DF7" w:rsidP="00F15DF7">
            <w:pPr>
              <w:rPr>
                <w:rFonts w:ascii="Book Antiqua" w:hAnsi="Book Antiqua"/>
              </w:rPr>
            </w:pPr>
          </w:p>
          <w:p w:rsidR="00F15DF7" w:rsidRPr="00F17B4A" w:rsidRDefault="00F15DF7" w:rsidP="00F15DF7">
            <w:pPr>
              <w:rPr>
                <w:rFonts w:ascii="Book Antiqua" w:hAnsi="Book Antiqua"/>
              </w:rPr>
            </w:pPr>
            <w:r w:rsidRPr="00F17B4A">
              <w:rPr>
                <w:rFonts w:ascii="Book Antiqua" w:hAnsi="Book Antiqua"/>
              </w:rPr>
              <w:t>Përmirësimi i sistemit të raportimit të  infeksioneve spitalore</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r w:rsidRPr="00F17B4A">
              <w:rPr>
                <w:rFonts w:ascii="Book Antiqua" w:hAnsi="Book Antiqua"/>
              </w:rPr>
              <w:t>Skriningu periodik në QKUK (njësitë e kujdesit intenziv) për bakteret multirezistente (MRSA, VRE, ESBL dhe CRE).</w:t>
            </w:r>
          </w:p>
          <w:p w:rsidR="00F15DF7" w:rsidRPr="00F17B4A" w:rsidRDefault="00F15DF7" w:rsidP="00F15DF7">
            <w:pPr>
              <w:rPr>
                <w:rFonts w:ascii="Book Antiqua" w:hAnsi="Book Antiqua"/>
              </w:rPr>
            </w:pP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3500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10500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SHSKUK, IKSHPK</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Raportet periodike të  skriningut të prezantuara dhe publikuara</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15DF7" w:rsidRPr="00F17B4A" w:rsidRDefault="00F15DF7" w:rsidP="00F15DF7">
            <w:pPr>
              <w:rPr>
                <w:rFonts w:ascii="Book Antiqua" w:hAnsi="Book Antiqua"/>
              </w:rPr>
            </w:pPr>
            <w:r w:rsidRPr="00F17B4A">
              <w:rPr>
                <w:rFonts w:ascii="Book Antiqua" w:hAnsi="Book Antiqua"/>
              </w:rPr>
              <w:t>6.1.2.4. Rishikoni rregulloret për të shmangur lidhjen e mundshme të fajit nga gabimet e trajtimit pas zbulimit të HAI dhe trajnoni stafin klinik mbi këtë koncept</w:t>
            </w: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Zbatimi i Rekomandimeve të Këshillit të BE për Sigurinë e Pacientit  (COUNCIL RECOMMENDATION on patient safety, 2009/C 151/01)</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3000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9000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BK</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SHSKUK</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Raport nga rekomandimet e zbatuara</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Zbatimi i "xhirove të sigurisë" nëpër repartet me rrezik të lartë (njësitë e kujdesit intensiv dhe ato të kirurgjisë) nga personat e autorizuar</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SHSKUK</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Identifikimi i problemeve potenciale gjatë ofrimit të kujdesit shëndetësor dhe adresimi i tyre nga menaxhmenti</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Raportimi i gabimeve mjekësore nga vetë punëtorët shëndetësorë</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Institucionet shëndetësore</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 ISH</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Adresimi i menjëhershëm i gabimeve të raportuara nga menaxhmenti</w:t>
            </w:r>
          </w:p>
        </w:tc>
      </w:tr>
      <w:tr w:rsidR="00F15DF7" w:rsidRPr="002E0946"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15DF7" w:rsidRPr="002E0946" w:rsidRDefault="00F15DF7" w:rsidP="00F15DF7">
            <w:pPr>
              <w:rPr>
                <w:rFonts w:ascii="Book Antiqua" w:hAnsi="Book Antiqua"/>
                <w:color w:val="FF0000"/>
              </w:rPr>
            </w:pPr>
            <w:r w:rsidRPr="002E0946">
              <w:rPr>
                <w:rFonts w:ascii="Book Antiqua" w:hAnsi="Book Antiqua"/>
                <w:color w:val="FF0000"/>
              </w:rPr>
              <w:t>6.1.2.5. Zhvillimi dhe miratimi i Procedurave Standarde Operative për procedurat kryesore spitalore, të cilat kërkohen në parandalimin e HAI</w:t>
            </w:r>
          </w:p>
        </w:tc>
        <w:tc>
          <w:tcPr>
            <w:tcW w:w="1946" w:type="dxa"/>
            <w:tcBorders>
              <w:top w:val="single" w:sz="4" w:space="0" w:color="auto"/>
              <w:left w:val="single" w:sz="4" w:space="0" w:color="auto"/>
              <w:bottom w:val="single" w:sz="4" w:space="0" w:color="auto"/>
              <w:right w:val="single" w:sz="4" w:space="0" w:color="auto"/>
            </w:tcBorders>
            <w:hideMark/>
          </w:tcPr>
          <w:p w:rsidR="00F15DF7" w:rsidRPr="002E0946" w:rsidRDefault="00F15DF7" w:rsidP="00F15DF7">
            <w:pPr>
              <w:rPr>
                <w:rFonts w:ascii="Book Antiqua" w:hAnsi="Book Antiqua"/>
                <w:color w:val="FF0000"/>
              </w:rPr>
            </w:pPr>
            <w:r w:rsidRPr="002E0946">
              <w:rPr>
                <w:rFonts w:ascii="Book Antiqua" w:hAnsi="Book Antiqua"/>
                <w:color w:val="FF0000"/>
              </w:rPr>
              <w:t xml:space="preserve">Hartimi I PSO </w:t>
            </w:r>
          </w:p>
          <w:p w:rsidR="002E0946" w:rsidRPr="002E0946" w:rsidRDefault="002E0946" w:rsidP="002E0946">
            <w:pPr>
              <w:rPr>
                <w:rFonts w:ascii="Book Antiqua" w:hAnsi="Book Antiqua"/>
                <w:color w:val="FF0000"/>
              </w:rPr>
            </w:pPr>
            <w:r w:rsidRPr="002E0946">
              <w:rPr>
                <w:rFonts w:ascii="Book Antiqua" w:hAnsi="Book Antiqua"/>
                <w:color w:val="FF0000"/>
              </w:rPr>
              <w:t>(Jan</w:t>
            </w:r>
            <w:r>
              <w:rPr>
                <w:rFonts w:ascii="Book Antiqua" w:hAnsi="Book Antiqua"/>
                <w:color w:val="FF0000"/>
              </w:rPr>
              <w:t>ë</w:t>
            </w:r>
            <w:r w:rsidRPr="002E0946">
              <w:rPr>
                <w:rFonts w:ascii="Book Antiqua" w:hAnsi="Book Antiqua"/>
                <w:color w:val="FF0000"/>
              </w:rPr>
              <w:t xml:space="preserve"> hartuar)</w:t>
            </w:r>
          </w:p>
        </w:tc>
        <w:tc>
          <w:tcPr>
            <w:tcW w:w="838" w:type="dxa"/>
            <w:tcBorders>
              <w:top w:val="single" w:sz="4" w:space="0" w:color="auto"/>
              <w:left w:val="single" w:sz="4" w:space="0" w:color="auto"/>
              <w:bottom w:val="single" w:sz="4" w:space="0" w:color="auto"/>
              <w:right w:val="single" w:sz="4" w:space="0" w:color="auto"/>
            </w:tcBorders>
          </w:tcPr>
          <w:p w:rsidR="00F15DF7" w:rsidRPr="002E0946" w:rsidRDefault="00F15DF7" w:rsidP="00F15DF7">
            <w:pPr>
              <w:rPr>
                <w:rFonts w:ascii="Book Antiqua" w:hAnsi="Book Antiqua"/>
                <w:color w:val="FF0000"/>
              </w:rPr>
            </w:pPr>
          </w:p>
        </w:tc>
        <w:tc>
          <w:tcPr>
            <w:tcW w:w="724" w:type="dxa"/>
            <w:tcBorders>
              <w:top w:val="single" w:sz="4" w:space="0" w:color="auto"/>
              <w:left w:val="single" w:sz="4" w:space="0" w:color="auto"/>
              <w:bottom w:val="single" w:sz="4" w:space="0" w:color="auto"/>
              <w:right w:val="single" w:sz="4" w:space="0" w:color="auto"/>
            </w:tcBorders>
          </w:tcPr>
          <w:p w:rsidR="00F15DF7" w:rsidRPr="002E0946" w:rsidRDefault="002E0946" w:rsidP="00F15DF7">
            <w:pPr>
              <w:rPr>
                <w:rFonts w:ascii="Book Antiqua" w:hAnsi="Book Antiqua"/>
                <w:color w:val="FF0000"/>
              </w:rPr>
            </w:pPr>
            <w:r w:rsidRPr="002E0946">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tcPr>
          <w:p w:rsidR="00F15DF7" w:rsidRPr="002E0946" w:rsidRDefault="002E0946" w:rsidP="00F15DF7">
            <w:pPr>
              <w:rPr>
                <w:rFonts w:ascii="Book Antiqua" w:hAnsi="Book Antiqua"/>
                <w:color w:val="FF0000"/>
              </w:rPr>
            </w:pPr>
            <w:r w:rsidRPr="002E0946">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tcPr>
          <w:p w:rsidR="00F15DF7" w:rsidRPr="002E0946" w:rsidRDefault="002E0946" w:rsidP="00F15DF7">
            <w:pPr>
              <w:rPr>
                <w:rFonts w:ascii="Book Antiqua" w:hAnsi="Book Antiqua"/>
                <w:color w:val="FF0000"/>
              </w:rPr>
            </w:pPr>
            <w:r w:rsidRPr="002E0946">
              <w:rPr>
                <w:rFonts w:ascii="Book Antiqua" w:hAnsi="Book Antiqua"/>
                <w:color w:val="FF0000"/>
              </w:rPr>
              <w:t>0</w:t>
            </w:r>
          </w:p>
        </w:tc>
        <w:tc>
          <w:tcPr>
            <w:tcW w:w="724" w:type="dxa"/>
            <w:tcBorders>
              <w:top w:val="single" w:sz="4" w:space="0" w:color="auto"/>
              <w:left w:val="single" w:sz="4" w:space="0" w:color="auto"/>
              <w:bottom w:val="single" w:sz="4" w:space="0" w:color="auto"/>
              <w:right w:val="single" w:sz="4" w:space="0" w:color="auto"/>
            </w:tcBorders>
          </w:tcPr>
          <w:p w:rsidR="00F15DF7" w:rsidRPr="002E0946" w:rsidRDefault="002E0946" w:rsidP="00F15DF7">
            <w:pPr>
              <w:rPr>
                <w:rFonts w:ascii="Book Antiqua" w:hAnsi="Book Antiqua"/>
                <w:color w:val="FF0000"/>
              </w:rPr>
            </w:pPr>
            <w:r w:rsidRPr="002E0946">
              <w:rPr>
                <w:rFonts w:ascii="Book Antiqua" w:hAnsi="Book Antiqua"/>
                <w:color w:val="FF0000"/>
              </w:rPr>
              <w:t>0</w:t>
            </w:r>
          </w:p>
        </w:tc>
        <w:tc>
          <w:tcPr>
            <w:tcW w:w="1310" w:type="dxa"/>
            <w:tcBorders>
              <w:top w:val="single" w:sz="4" w:space="0" w:color="auto"/>
              <w:left w:val="single" w:sz="4" w:space="0" w:color="auto"/>
              <w:bottom w:val="single" w:sz="4" w:space="0" w:color="auto"/>
              <w:right w:val="single" w:sz="4" w:space="0" w:color="auto"/>
            </w:tcBorders>
          </w:tcPr>
          <w:p w:rsidR="00F15DF7" w:rsidRPr="002E0946" w:rsidRDefault="00F15DF7" w:rsidP="00F15DF7">
            <w:pPr>
              <w:rPr>
                <w:rFonts w:ascii="Book Antiqua" w:hAnsi="Book Antiqua"/>
                <w:color w:val="FF0000"/>
              </w:rPr>
            </w:pPr>
          </w:p>
        </w:tc>
        <w:tc>
          <w:tcPr>
            <w:tcW w:w="1199" w:type="dxa"/>
            <w:tcBorders>
              <w:top w:val="single" w:sz="4" w:space="0" w:color="auto"/>
              <w:left w:val="single" w:sz="4" w:space="0" w:color="auto"/>
              <w:bottom w:val="single" w:sz="4" w:space="0" w:color="auto"/>
              <w:right w:val="single" w:sz="4" w:space="0" w:color="auto"/>
            </w:tcBorders>
          </w:tcPr>
          <w:p w:rsidR="00F15DF7" w:rsidRPr="002E0946" w:rsidRDefault="00F15DF7" w:rsidP="00F15DF7">
            <w:pPr>
              <w:rPr>
                <w:rFonts w:ascii="Book Antiqua" w:hAnsi="Book Antiqua"/>
                <w:color w:val="FF0000"/>
              </w:rPr>
            </w:pPr>
          </w:p>
        </w:tc>
        <w:tc>
          <w:tcPr>
            <w:tcW w:w="1222" w:type="dxa"/>
            <w:tcBorders>
              <w:top w:val="single" w:sz="4" w:space="0" w:color="auto"/>
              <w:left w:val="single" w:sz="4" w:space="0" w:color="auto"/>
              <w:bottom w:val="single" w:sz="4" w:space="0" w:color="auto"/>
              <w:right w:val="single" w:sz="4" w:space="0" w:color="auto"/>
            </w:tcBorders>
          </w:tcPr>
          <w:p w:rsidR="00F15DF7" w:rsidRPr="002E0946" w:rsidRDefault="00F15DF7" w:rsidP="00F15DF7">
            <w:pPr>
              <w:rPr>
                <w:rFonts w:ascii="Book Antiqua" w:hAnsi="Book Antiqua"/>
                <w:color w:val="FF0000"/>
              </w:rPr>
            </w:pPr>
          </w:p>
        </w:tc>
        <w:tc>
          <w:tcPr>
            <w:tcW w:w="2089" w:type="dxa"/>
            <w:tcBorders>
              <w:top w:val="single" w:sz="4" w:space="0" w:color="auto"/>
              <w:left w:val="single" w:sz="4" w:space="0" w:color="auto"/>
              <w:bottom w:val="single" w:sz="4" w:space="0" w:color="auto"/>
              <w:right w:val="single" w:sz="4" w:space="0" w:color="auto"/>
            </w:tcBorders>
            <w:hideMark/>
          </w:tcPr>
          <w:p w:rsidR="00F15DF7" w:rsidRPr="002E0946" w:rsidRDefault="00F15DF7" w:rsidP="00F15DF7">
            <w:pPr>
              <w:rPr>
                <w:rFonts w:ascii="Book Antiqua" w:hAnsi="Book Antiqua"/>
                <w:color w:val="FF0000"/>
              </w:rPr>
            </w:pPr>
            <w:r w:rsidRPr="002E0946">
              <w:rPr>
                <w:rFonts w:ascii="Book Antiqua" w:hAnsi="Book Antiqua"/>
                <w:color w:val="FF0000"/>
              </w:rPr>
              <w:t>Finalizimi I 11 PSO te kontrollit te infeksioneve</w:t>
            </w: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15DF7" w:rsidRPr="00F17B4A" w:rsidRDefault="00F15DF7" w:rsidP="00F15DF7">
            <w:pPr>
              <w:rPr>
                <w:rFonts w:ascii="Book Antiqua" w:hAnsi="Book Antiqua"/>
              </w:rPr>
            </w:pPr>
            <w:r w:rsidRPr="00F17B4A">
              <w:rPr>
                <w:rFonts w:ascii="Book Antiqua" w:hAnsi="Book Antiqua"/>
              </w:rPr>
              <w:t>6.1.2.6. Përmirësimi i infrastruktures spitalore dhe sigurimi i vazhdueshëm i furnizimeve mbrojtëse të nevojshme për parandalimin e HAI.</w:t>
            </w:r>
          </w:p>
        </w:tc>
        <w:tc>
          <w:tcPr>
            <w:tcW w:w="1946"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838"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724"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1310"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1199"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1222"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c>
          <w:tcPr>
            <w:tcW w:w="2089" w:type="dxa"/>
            <w:tcBorders>
              <w:top w:val="single" w:sz="4" w:space="0" w:color="auto"/>
              <w:left w:val="single" w:sz="4" w:space="0" w:color="auto"/>
              <w:bottom w:val="single" w:sz="4" w:space="0" w:color="auto"/>
              <w:right w:val="single" w:sz="4" w:space="0" w:color="auto"/>
            </w:tcBorders>
          </w:tcPr>
          <w:p w:rsidR="00F15DF7" w:rsidRPr="00F17B4A" w:rsidRDefault="00F15DF7" w:rsidP="00F15DF7">
            <w:pPr>
              <w:rPr>
                <w:rFonts w:ascii="Book Antiqua" w:hAnsi="Book Antiqua"/>
              </w:rPr>
            </w:pPr>
          </w:p>
        </w:tc>
      </w:tr>
      <w:tr w:rsidR="00F15DF7" w:rsidRPr="00F17B4A" w:rsidTr="00EA0B88">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15DF7" w:rsidRPr="00F17B4A" w:rsidRDefault="00F15DF7" w:rsidP="00F15DF7">
            <w:pPr>
              <w:rPr>
                <w:rFonts w:ascii="Book Antiqua" w:hAnsi="Book Antiqua"/>
              </w:rPr>
            </w:pPr>
          </w:p>
        </w:tc>
        <w:tc>
          <w:tcPr>
            <w:tcW w:w="1946"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Përfshirja e ekspertëve të IPC në procedurat e tenderit për kontraktimin e kompanive të jashtme private të higjienës për të ofruar shërbime pastrimi për institucionet  shëndetësore</w:t>
            </w:r>
          </w:p>
        </w:tc>
        <w:tc>
          <w:tcPr>
            <w:tcW w:w="838"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V1-3</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724"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0</w:t>
            </w:r>
          </w:p>
        </w:tc>
        <w:tc>
          <w:tcPr>
            <w:tcW w:w="1310"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w:t>
            </w:r>
          </w:p>
        </w:tc>
        <w:tc>
          <w:tcPr>
            <w:tcW w:w="119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MSH</w:t>
            </w:r>
          </w:p>
        </w:tc>
        <w:tc>
          <w:tcPr>
            <w:tcW w:w="1222"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SHSKUK</w:t>
            </w:r>
          </w:p>
        </w:tc>
        <w:tc>
          <w:tcPr>
            <w:tcW w:w="2089" w:type="dxa"/>
            <w:tcBorders>
              <w:top w:val="single" w:sz="4" w:space="0" w:color="auto"/>
              <w:left w:val="single" w:sz="4" w:space="0" w:color="auto"/>
              <w:bottom w:val="single" w:sz="4" w:space="0" w:color="auto"/>
              <w:right w:val="single" w:sz="4" w:space="0" w:color="auto"/>
            </w:tcBorders>
            <w:hideMark/>
          </w:tcPr>
          <w:p w:rsidR="00F15DF7" w:rsidRPr="00F17B4A" w:rsidRDefault="00F15DF7" w:rsidP="00F15DF7">
            <w:pPr>
              <w:rPr>
                <w:rFonts w:ascii="Book Antiqua" w:hAnsi="Book Antiqua"/>
              </w:rPr>
            </w:pPr>
            <w:r w:rsidRPr="00F17B4A">
              <w:rPr>
                <w:rFonts w:ascii="Book Antiqua" w:hAnsi="Book Antiqua"/>
              </w:rPr>
              <w:t>Mbajtje adekuate e higjinieës së mjedist në sallat e operacionit në SHSKUK</w:t>
            </w:r>
          </w:p>
        </w:tc>
      </w:tr>
    </w:tbl>
    <w:p w:rsidR="004F1A82" w:rsidRDefault="004F1A82" w:rsidP="00BB4474">
      <w:pPr>
        <w:rPr>
          <w:rFonts w:ascii="Book Antiqua" w:hAnsi="Book Antiqua"/>
        </w:rPr>
      </w:pPr>
    </w:p>
    <w:p w:rsidR="00EA0B88" w:rsidRDefault="00EA0B88" w:rsidP="00BB4474">
      <w:pPr>
        <w:rPr>
          <w:rFonts w:ascii="Book Antiqua" w:hAnsi="Book Antiqua"/>
        </w:rPr>
      </w:pPr>
    </w:p>
    <w:p w:rsidR="00EA0B88" w:rsidRDefault="00EA0B88" w:rsidP="00BB4474">
      <w:pPr>
        <w:rPr>
          <w:rFonts w:ascii="Book Antiqua" w:hAnsi="Book Antiqua"/>
        </w:rPr>
      </w:pPr>
    </w:p>
    <w:p w:rsidR="00EA0B88" w:rsidRDefault="00EA0B88" w:rsidP="00BB4474">
      <w:pPr>
        <w:rPr>
          <w:rFonts w:ascii="Book Antiqua" w:hAnsi="Book Antiqua"/>
        </w:rPr>
      </w:pPr>
    </w:p>
    <w:p w:rsidR="00EA0B88" w:rsidRDefault="00EA0B88" w:rsidP="00BB4474">
      <w:pPr>
        <w:rPr>
          <w:rFonts w:ascii="Book Antiqua" w:hAnsi="Book Antiqua"/>
        </w:rPr>
      </w:pPr>
    </w:p>
    <w:p w:rsidR="00EA0B88" w:rsidRDefault="00EA0B88" w:rsidP="00BB4474">
      <w:pPr>
        <w:rPr>
          <w:rFonts w:ascii="Book Antiqua" w:hAnsi="Book Antiqua"/>
        </w:rPr>
      </w:pPr>
    </w:p>
    <w:p w:rsidR="00EA0B88" w:rsidRPr="00F17B4A" w:rsidRDefault="00EA0B88"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IMUNIZIMI</w:t>
      </w:r>
    </w:p>
    <w:tbl>
      <w:tblPr>
        <w:tblpPr w:leftFromText="180" w:rightFromText="180" w:bottomFromText="200" w:vertAnchor="text" w:tblpXSpec="center" w:tblpY="1"/>
        <w:tblOverlap w:val="never"/>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6"/>
        <w:gridCol w:w="1226"/>
        <w:gridCol w:w="954"/>
        <w:gridCol w:w="1058"/>
        <w:gridCol w:w="1061"/>
        <w:gridCol w:w="1247"/>
        <w:gridCol w:w="1559"/>
        <w:gridCol w:w="1348"/>
        <w:gridCol w:w="2253"/>
      </w:tblGrid>
      <w:tr w:rsidR="004F1A82" w:rsidRPr="00F17B4A" w:rsidTr="004F1A82">
        <w:trPr>
          <w:trHeight w:val="269"/>
        </w:trPr>
        <w:tc>
          <w:tcPr>
            <w:tcW w:w="5000" w:type="pct"/>
            <w:gridSpan w:val="10"/>
            <w:tcBorders>
              <w:top w:val="single" w:sz="4" w:space="0" w:color="auto"/>
              <w:left w:val="single" w:sz="4" w:space="0" w:color="auto"/>
              <w:bottom w:val="single" w:sz="4" w:space="0" w:color="auto"/>
              <w:right w:val="single" w:sz="4" w:space="0" w:color="auto"/>
            </w:tcBorders>
            <w:shd w:val="clear" w:color="auto" w:fill="FBE4D5"/>
          </w:tcPr>
          <w:p w:rsidR="004F1A82" w:rsidRPr="00F17B4A" w:rsidRDefault="004F1A82" w:rsidP="00BB4474">
            <w:pPr>
              <w:rPr>
                <w:rFonts w:ascii="Book Antiqua" w:hAnsi="Book Antiqua"/>
              </w:rPr>
            </w:pPr>
            <w:r w:rsidRPr="00F17B4A">
              <w:rPr>
                <w:rFonts w:ascii="Book Antiqua" w:hAnsi="Book Antiqua"/>
              </w:rPr>
              <w:t>Objektivi Strategjik – Fuqizimi i sistemit të mbikëqyrjes dhe kon</w:t>
            </w:r>
            <w:r w:rsidR="000003A3">
              <w:rPr>
                <w:rFonts w:ascii="Book Antiqua" w:hAnsi="Book Antiqua"/>
              </w:rPr>
              <w:t xml:space="preserve">trollit të sëmundjeve ngjitëse </w:t>
            </w:r>
          </w:p>
        </w:tc>
      </w:tr>
      <w:tr w:rsidR="004F1A82" w:rsidRPr="00F17B4A" w:rsidTr="00EA0B88">
        <w:trPr>
          <w:trHeight w:val="269"/>
        </w:trPr>
        <w:tc>
          <w:tcPr>
            <w:tcW w:w="1498"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Objektivi specifik 1 – Përmirësimi i qeverisjes në fushën e sëmundjeve ngjitëse</w:t>
            </w:r>
          </w:p>
        </w:tc>
        <w:tc>
          <w:tcPr>
            <w:tcW w:w="1814" w:type="pct"/>
            <w:gridSpan w:val="5"/>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Indikatori (-ët) për matjen e arritjes së objektivit</w:t>
            </w:r>
          </w:p>
        </w:tc>
        <w:tc>
          <w:tcPr>
            <w:tcW w:w="510"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Baza 2021</w:t>
            </w:r>
          </w:p>
        </w:tc>
        <w:tc>
          <w:tcPr>
            <w:tcW w:w="441"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F1A82" w:rsidRPr="00F17B4A" w:rsidRDefault="004F1A82" w:rsidP="00BB4474">
            <w:pPr>
              <w:rPr>
                <w:rFonts w:ascii="Book Antiqua" w:hAnsi="Book Antiqua"/>
              </w:rPr>
            </w:pPr>
            <w:r w:rsidRPr="00F17B4A">
              <w:rPr>
                <w:rFonts w:ascii="Book Antiqua" w:hAnsi="Book Antiqua"/>
              </w:rPr>
              <w:t xml:space="preserve">Caku </w:t>
            </w:r>
            <w:r w:rsidR="00D8455B">
              <w:rPr>
                <w:rFonts w:ascii="Book Antiqua" w:hAnsi="Book Antiqua"/>
              </w:rPr>
              <w:t>2025</w:t>
            </w:r>
          </w:p>
        </w:tc>
        <w:tc>
          <w:tcPr>
            <w:tcW w:w="738" w:type="pct"/>
            <w:tcBorders>
              <w:top w:val="single" w:sz="4" w:space="0" w:color="auto"/>
              <w:left w:val="single" w:sz="4" w:space="0" w:color="auto"/>
              <w:bottom w:val="single" w:sz="4" w:space="0" w:color="auto"/>
              <w:right w:val="single" w:sz="4" w:space="0" w:color="auto"/>
            </w:tcBorders>
            <w:shd w:val="clear" w:color="auto" w:fill="E7E6E6"/>
            <w:vAlign w:val="center"/>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 xml:space="preserve">Caku </w:t>
            </w:r>
            <w:r w:rsidR="00D8455B">
              <w:rPr>
                <w:rFonts w:ascii="Book Antiqua" w:hAnsi="Book Antiqua"/>
              </w:rPr>
              <w:t>2025</w:t>
            </w:r>
          </w:p>
          <w:p w:rsidR="004F1A82" w:rsidRPr="00F17B4A" w:rsidRDefault="004F1A82" w:rsidP="00BB4474">
            <w:pPr>
              <w:rPr>
                <w:rFonts w:ascii="Book Antiqua" w:hAnsi="Book Antiqua"/>
              </w:rPr>
            </w:pPr>
          </w:p>
        </w:tc>
      </w:tr>
      <w:tr w:rsidR="004F1A82" w:rsidRPr="00F17B4A" w:rsidTr="00EA0B88">
        <w:trPr>
          <w:trHeight w:val="719"/>
        </w:trPr>
        <w:tc>
          <w:tcPr>
            <w:tcW w:w="711"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Rekomandimi</w:t>
            </w:r>
          </w:p>
          <w:p w:rsidR="004F1A82" w:rsidRPr="00F17B4A" w:rsidRDefault="004F1A82" w:rsidP="00BB4474">
            <w:pPr>
              <w:rPr>
                <w:rFonts w:ascii="Book Antiqua" w:hAnsi="Book Antiqua"/>
              </w:rPr>
            </w:pPr>
            <w:r w:rsidRPr="00F17B4A">
              <w:rPr>
                <w:rFonts w:ascii="Book Antiqua" w:hAnsi="Book Antiqua"/>
              </w:rPr>
              <w:t>ECDC</w:t>
            </w:r>
          </w:p>
        </w:tc>
        <w:tc>
          <w:tcPr>
            <w:tcW w:w="787" w:type="pct"/>
            <w:vMerge w:val="restar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Aktiviteti</w:t>
            </w:r>
          </w:p>
        </w:tc>
        <w:tc>
          <w:tcPr>
            <w:tcW w:w="1814" w:type="pct"/>
            <w:gridSpan w:val="5"/>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510"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38"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r>
      <w:tr w:rsidR="004F1A82" w:rsidRPr="00F17B4A" w:rsidTr="00EA0B88">
        <w:trPr>
          <w:trHeight w:val="530"/>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401"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Afati i zbatimit</w:t>
            </w:r>
          </w:p>
        </w:tc>
        <w:tc>
          <w:tcPr>
            <w:tcW w:w="1005" w:type="pct"/>
            <w:gridSpan w:val="3"/>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Kostoja totale</w:t>
            </w:r>
          </w:p>
        </w:tc>
        <w:tc>
          <w:tcPr>
            <w:tcW w:w="407" w:type="pct"/>
            <w:vMerge w:val="restart"/>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Burimi i financimit</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Institucioni</w:t>
            </w:r>
          </w:p>
          <w:p w:rsidR="004F1A82" w:rsidRPr="00F17B4A" w:rsidRDefault="004F1A82" w:rsidP="00BB4474">
            <w:pPr>
              <w:rPr>
                <w:rFonts w:ascii="Book Antiqua" w:hAnsi="Book Antiqua"/>
              </w:rPr>
            </w:pPr>
            <w:r w:rsidRPr="00F17B4A">
              <w:rPr>
                <w:rFonts w:ascii="Book Antiqua" w:hAnsi="Book Antiqua"/>
              </w:rPr>
              <w:t>udhëheqës</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r w:rsidRPr="00F17B4A">
              <w:rPr>
                <w:rFonts w:ascii="Book Antiqua" w:hAnsi="Book Antiqua"/>
              </w:rPr>
              <w:t>Institucioni mbështetës</w:t>
            </w:r>
          </w:p>
        </w:tc>
        <w:tc>
          <w:tcPr>
            <w:tcW w:w="738" w:type="pct"/>
            <w:vMerge w:val="restar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r w:rsidRPr="00F17B4A">
              <w:rPr>
                <w:rFonts w:ascii="Book Antiqua" w:hAnsi="Book Antiqua"/>
              </w:rPr>
              <w:t>Produkti</w:t>
            </w:r>
          </w:p>
        </w:tc>
      </w:tr>
      <w:tr w:rsidR="004F1A82" w:rsidRPr="00F17B4A" w:rsidTr="00EA0B88">
        <w:trPr>
          <w:trHeight w:val="503"/>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0" w:type="auto"/>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F1A82" w:rsidRPr="00F17B4A" w:rsidRDefault="004F1A82" w:rsidP="00BB4474">
            <w:pPr>
              <w:rPr>
                <w:rFonts w:ascii="Book Antiqua" w:hAnsi="Book Antiqua"/>
              </w:rPr>
            </w:pPr>
            <w:r w:rsidRPr="00F17B4A">
              <w:rPr>
                <w:rFonts w:ascii="Book Antiqua" w:hAnsi="Book Antiqua"/>
              </w:rPr>
              <w:t>Viti</w:t>
            </w:r>
          </w:p>
          <w:p w:rsidR="004F1A82" w:rsidRPr="00F17B4A" w:rsidRDefault="00D8455B" w:rsidP="00BB4474">
            <w:pPr>
              <w:rPr>
                <w:rFonts w:ascii="Book Antiqua" w:hAnsi="Book Antiqua"/>
              </w:rPr>
            </w:pPr>
            <w:r>
              <w:rPr>
                <w:rFonts w:ascii="Book Antiqua" w:hAnsi="Book Antiqua"/>
              </w:rPr>
              <w:t>2023</w:t>
            </w:r>
          </w:p>
        </w:tc>
        <w:tc>
          <w:tcPr>
            <w:tcW w:w="3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F1A82" w:rsidRPr="00F17B4A" w:rsidRDefault="004F1A82" w:rsidP="00BB4474">
            <w:pPr>
              <w:rPr>
                <w:rFonts w:ascii="Book Antiqua" w:hAnsi="Book Antiqua"/>
              </w:rPr>
            </w:pPr>
            <w:r w:rsidRPr="00F17B4A">
              <w:rPr>
                <w:rFonts w:ascii="Book Antiqua" w:hAnsi="Book Antiqua"/>
              </w:rPr>
              <w:t xml:space="preserve">Viti </w:t>
            </w:r>
            <w:r w:rsidR="00D8455B">
              <w:rPr>
                <w:rFonts w:ascii="Book Antiqua" w:hAnsi="Book Antiqua"/>
              </w:rPr>
              <w:t>2024</w:t>
            </w:r>
          </w:p>
        </w:tc>
        <w:tc>
          <w:tcPr>
            <w:tcW w:w="3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F1A82" w:rsidRPr="00F17B4A" w:rsidRDefault="004F1A82" w:rsidP="00BB4474">
            <w:pPr>
              <w:rPr>
                <w:rFonts w:ascii="Book Antiqua" w:hAnsi="Book Antiqua"/>
              </w:rPr>
            </w:pPr>
            <w:r w:rsidRPr="00F17B4A">
              <w:rPr>
                <w:rFonts w:ascii="Book Antiqua" w:hAnsi="Book Antiqua"/>
              </w:rPr>
              <w:t>Viti</w:t>
            </w:r>
          </w:p>
          <w:p w:rsidR="004F1A82" w:rsidRPr="00F17B4A" w:rsidRDefault="00D8455B" w:rsidP="00BB4474">
            <w:pPr>
              <w:rPr>
                <w:rFonts w:ascii="Book Antiqua" w:hAnsi="Book Antiqua"/>
              </w:rPr>
            </w:pPr>
            <w:r>
              <w:rPr>
                <w:rFonts w:ascii="Book Antiqua" w:hAnsi="Book Antiqua"/>
              </w:rPr>
              <w:t>2025</w:t>
            </w:r>
          </w:p>
        </w:tc>
        <w:tc>
          <w:tcPr>
            <w:tcW w:w="0" w:type="auto"/>
            <w:vMerge/>
            <w:tcBorders>
              <w:top w:val="nil"/>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A82" w:rsidRPr="00F17B4A" w:rsidRDefault="004F1A82" w:rsidP="00BB4474">
            <w:pPr>
              <w:rPr>
                <w:rFonts w:ascii="Book Antiqua" w:hAnsi="Book Antiqua"/>
              </w:rPr>
            </w:pPr>
          </w:p>
        </w:tc>
      </w:tr>
      <w:tr w:rsidR="004F1A82" w:rsidRPr="00F17B4A" w:rsidTr="00EA0B88">
        <w:trPr>
          <w:trHeight w:val="1230"/>
        </w:trPr>
        <w:tc>
          <w:tcPr>
            <w:tcW w:w="711"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r w:rsidRPr="00F17B4A">
              <w:rPr>
                <w:rFonts w:ascii="Book Antiqua" w:hAnsi="Book Antiqua"/>
              </w:rPr>
              <w:t>6.5.  Hartimi i strategjisë ose planit të veprimit kombëtar në përputhje me rekomandimet ndërkombëtare, për të zgjeruar vaksinimin kundër gripit sezonal te punëtorëve shëndetësor si dhe në popullatën e përgjithëshme.</w:t>
            </w:r>
          </w:p>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Hartimi i Programit të vaksinimit kundër gripit sezonal</w:t>
            </w:r>
          </w:p>
          <w:p w:rsidR="004F1A82" w:rsidRPr="00F17B4A" w:rsidRDefault="004F1A82" w:rsidP="00BB4474">
            <w:pPr>
              <w:rPr>
                <w:rFonts w:ascii="Book Antiqua" w:hAnsi="Book Antiqua"/>
              </w:rPr>
            </w:pP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2024</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10,000 €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Programi i vaksinimit kundër gripit sezonal i aprovuar</w:t>
            </w:r>
          </w:p>
        </w:tc>
      </w:tr>
      <w:tr w:rsidR="004F1A82" w:rsidRPr="00F17B4A" w:rsidTr="00EA0B88">
        <w:trPr>
          <w:trHeight w:val="1230"/>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Zgjerimi i përfshirjes së popullatës me vaksinën kundër gripit sezonal</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2024</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500,000 €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500,000€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500,000€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738"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Numri i popullatës së zgjeruar i përfshirë me vaksinën kundër gripit sezonal</w:t>
            </w:r>
          </w:p>
          <w:p w:rsidR="004F1A82" w:rsidRPr="00F17B4A" w:rsidRDefault="004F1A82" w:rsidP="00BB4474">
            <w:pPr>
              <w:rPr>
                <w:rFonts w:ascii="Book Antiqua" w:hAnsi="Book Antiqua"/>
              </w:rPr>
            </w:pPr>
          </w:p>
        </w:tc>
      </w:tr>
      <w:tr w:rsidR="004F1A82" w:rsidRPr="00F17B4A" w:rsidTr="00EA0B88">
        <w:trPr>
          <w:trHeight w:val="1230"/>
        </w:trPr>
        <w:tc>
          <w:tcPr>
            <w:tcW w:w="711"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r w:rsidRPr="00F17B4A">
              <w:rPr>
                <w:rFonts w:ascii="Book Antiqua" w:hAnsi="Book Antiqua"/>
              </w:rPr>
              <w:t xml:space="preserve">6.7.1.   Plotësim ndryshimi dhe implementimi i Planit Shumëvjeçar të Programit Kombëtar të Imunizimit </w:t>
            </w:r>
          </w:p>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Përditësimi i Planit Strategjik për Imunizim </w:t>
            </w:r>
            <w:r w:rsidR="00D8455B">
              <w:rPr>
                <w:rFonts w:ascii="Book Antiqua" w:hAnsi="Book Antiqua"/>
              </w:rPr>
              <w:t>2023</w:t>
            </w:r>
            <w:r w:rsidRPr="00F17B4A">
              <w:rPr>
                <w:rFonts w:ascii="Book Antiqua" w:hAnsi="Book Antiqua"/>
              </w:rPr>
              <w:t>-</w:t>
            </w:r>
            <w:r w:rsidR="00D8455B">
              <w:rPr>
                <w:rFonts w:ascii="Book Antiqua" w:hAnsi="Book Antiqua"/>
              </w:rPr>
              <w:t>2025</w:t>
            </w:r>
          </w:p>
        </w:tc>
        <w:tc>
          <w:tcPr>
            <w:tcW w:w="401" w:type="pct"/>
            <w:tcBorders>
              <w:top w:val="single" w:sz="4" w:space="0" w:color="auto"/>
              <w:left w:val="single" w:sz="4" w:space="0" w:color="auto"/>
              <w:bottom w:val="single" w:sz="4" w:space="0" w:color="auto"/>
              <w:right w:val="single" w:sz="4" w:space="0" w:color="auto"/>
            </w:tcBorders>
          </w:tcPr>
          <w:p w:rsidR="004F1A82" w:rsidRPr="00F17B4A" w:rsidRDefault="00D8455B" w:rsidP="00BB4474">
            <w:pPr>
              <w:rPr>
                <w:rFonts w:ascii="Book Antiqua" w:hAnsi="Book Antiqua"/>
              </w:rPr>
            </w:pPr>
            <w:r>
              <w:rPr>
                <w:rFonts w:ascii="Book Antiqua" w:hAnsi="Book Antiqua"/>
              </w:rPr>
              <w:t>2023</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22.000 €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MSh</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IKShPK</w:t>
            </w:r>
          </w:p>
          <w:p w:rsidR="004F1A82" w:rsidRPr="00F17B4A" w:rsidRDefault="004F1A82" w:rsidP="00BB4474">
            <w:pPr>
              <w:rPr>
                <w:rFonts w:ascii="Book Antiqua" w:hAnsi="Book Antiqua"/>
              </w:rPr>
            </w:pP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Plotesim ndryshimi i Planit Shumëvjeçarë të Programit Kombëtarë të Imunizimit </w:t>
            </w:r>
            <w:r w:rsidR="00D8455B">
              <w:rPr>
                <w:rFonts w:ascii="Book Antiqua" w:hAnsi="Book Antiqua"/>
              </w:rPr>
              <w:t>2023</w:t>
            </w:r>
            <w:r w:rsidRPr="00F17B4A">
              <w:rPr>
                <w:rFonts w:ascii="Book Antiqua" w:hAnsi="Book Antiqua"/>
              </w:rPr>
              <w:t>-</w:t>
            </w:r>
            <w:r w:rsidR="00D8455B">
              <w:rPr>
                <w:rFonts w:ascii="Book Antiqua" w:hAnsi="Book Antiqua"/>
              </w:rPr>
              <w:t>2025</w:t>
            </w:r>
            <w:r w:rsidRPr="00F17B4A">
              <w:rPr>
                <w:rFonts w:ascii="Book Antiqua" w:hAnsi="Book Antiqua"/>
              </w:rPr>
              <w:t xml:space="preserve">  i aprovuar</w:t>
            </w:r>
          </w:p>
        </w:tc>
      </w:tr>
      <w:tr w:rsidR="004F1A82" w:rsidRPr="00F17B4A" w:rsidTr="00EA0B88">
        <w:trPr>
          <w:trHeight w:val="1230"/>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Përditësimi i kornizës ligjore (UA-2010)</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12"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5.000 €</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MSh/DL</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UA-Udhëzimi Administrativ për Vaksinoprofilaksë, Seroprofilaksë dhe Kimioprofilaksë i aprovuar</w:t>
            </w:r>
          </w:p>
        </w:tc>
      </w:tr>
      <w:tr w:rsidR="004F1A82" w:rsidRPr="00F17B4A" w:rsidTr="00EA0B88">
        <w:trPr>
          <w:trHeight w:val="2510"/>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Monitorimi i indikatorëve për zbatimin e aktiviteteve të programit të imunzimit në Planin Strategjik</w:t>
            </w:r>
          </w:p>
        </w:tc>
        <w:tc>
          <w:tcPr>
            <w:tcW w:w="401" w:type="pct"/>
            <w:tcBorders>
              <w:top w:val="single" w:sz="4" w:space="0" w:color="auto"/>
              <w:left w:val="single" w:sz="4" w:space="0" w:color="auto"/>
              <w:bottom w:val="single" w:sz="4" w:space="0" w:color="auto"/>
              <w:right w:val="single" w:sz="4" w:space="0" w:color="auto"/>
            </w:tcBorders>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p w:rsidR="004F1A82" w:rsidRPr="00F17B4A" w:rsidRDefault="004F1A82" w:rsidP="00BB4474">
            <w:pPr>
              <w:rPr>
                <w:rFonts w:ascii="Book Antiqua" w:hAnsi="Book Antiqua"/>
              </w:rPr>
            </w:pP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w:t>
            </w:r>
          </w:p>
        </w:tc>
        <w:tc>
          <w:tcPr>
            <w:tcW w:w="441"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MSh</w:t>
            </w:r>
          </w:p>
          <w:p w:rsidR="004F1A82" w:rsidRPr="00F17B4A" w:rsidRDefault="004F1A82" w:rsidP="00BB4474">
            <w:pPr>
              <w:rPr>
                <w:rFonts w:ascii="Book Antiqua" w:hAnsi="Book Antiqua"/>
              </w:rPr>
            </w:pP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Raporti i monitorimit të indikatorëve  për zbatimin e aktiviteteve të programit të imunzimit të planifikuara në Planin Strategjik</w:t>
            </w:r>
          </w:p>
        </w:tc>
      </w:tr>
      <w:tr w:rsidR="004F1A82" w:rsidRPr="00F17B4A" w:rsidTr="00EA0B88">
        <w:trPr>
          <w:trHeight w:val="824"/>
        </w:trPr>
        <w:tc>
          <w:tcPr>
            <w:tcW w:w="711"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6.7.2. Të kryhet vlerësimi për vaksinat kundër  rotavirusit, virusit të papillomës njerëzore dhe pneumokokut me qëllim të implementimit në programin kombëtar.</w:t>
            </w: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Vlerësimi i programit të imunizimit për implementim të vaksinës kundër Rota virusit, Pneumokokut dhe Papillama virusit në Programin Kombëtar të Imunizimit </w:t>
            </w:r>
          </w:p>
        </w:tc>
        <w:tc>
          <w:tcPr>
            <w:tcW w:w="401" w:type="pct"/>
            <w:tcBorders>
              <w:top w:val="single" w:sz="4" w:space="0" w:color="auto"/>
              <w:left w:val="single" w:sz="4" w:space="0" w:color="auto"/>
              <w:bottom w:val="single" w:sz="4" w:space="0" w:color="auto"/>
              <w:right w:val="single" w:sz="4" w:space="0" w:color="auto"/>
            </w:tcBorders>
          </w:tcPr>
          <w:p w:rsidR="004F1A82" w:rsidRPr="00F17B4A" w:rsidRDefault="00D8455B" w:rsidP="00BB4474">
            <w:pPr>
              <w:rPr>
                <w:rFonts w:ascii="Book Antiqua" w:hAnsi="Book Antiqua"/>
              </w:rPr>
            </w:pPr>
            <w:r>
              <w:rPr>
                <w:rFonts w:ascii="Book Antiqua" w:hAnsi="Book Antiqua"/>
              </w:rPr>
              <w:t>2023</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 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Zbatimi i programit të imunizimit për implementim të vaksinës kundër Rota virusit dhe Pneumokokut në Programin Kombëtar të Imunizimit i vlerësuar</w:t>
            </w:r>
          </w:p>
        </w:tc>
      </w:tr>
      <w:tr w:rsidR="004F1A82" w:rsidRPr="00F17B4A" w:rsidTr="00EA0B88">
        <w:trPr>
          <w:trHeight w:val="1524"/>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Studimi i kosto-efektivitetit për përfshirjen e vaksinave të reja</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w:t>
            </w:r>
          </w:p>
          <w:p w:rsidR="004F1A82" w:rsidRPr="00F17B4A" w:rsidRDefault="004F1A82" w:rsidP="00BB4474">
            <w:pPr>
              <w:rPr>
                <w:rFonts w:ascii="Book Antiqua" w:hAnsi="Book Antiqua"/>
              </w:rPr>
            </w:pPr>
            <w:r w:rsidRPr="00F17B4A">
              <w:rPr>
                <w:rFonts w:ascii="Book Antiqua" w:hAnsi="Book Antiqua"/>
              </w:rPr>
              <w:t>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 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Studimi i publikuar për kostoefektivitetin e përfshirjes së vaksinave të reja</w:t>
            </w:r>
          </w:p>
        </w:tc>
      </w:tr>
      <w:tr w:rsidR="004F1A82" w:rsidRPr="00F17B4A" w:rsidTr="00EA0B88">
        <w:trPr>
          <w:trHeight w:val="196"/>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Ndarja e mjeteve të mjaftueshme financiare për përfshirje të vaksinave të reja në PZI</w:t>
            </w:r>
            <w:r w:rsidRPr="00F17B4A">
              <w:rPr>
                <w:rFonts w:ascii="Book Antiqua" w:hAnsi="Book Antiqua"/>
              </w:rPr>
              <w:br/>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500,000 €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Mjetet e ndara për PZI</w:t>
            </w:r>
          </w:p>
        </w:tc>
      </w:tr>
      <w:tr w:rsidR="004F1A82" w:rsidRPr="00F17B4A" w:rsidTr="00EA0B88">
        <w:trPr>
          <w:trHeight w:val="1748"/>
        </w:trPr>
        <w:tc>
          <w:tcPr>
            <w:tcW w:w="711" w:type="pct"/>
            <w:vMerge w:val="restart"/>
            <w:tcBorders>
              <w:top w:val="single" w:sz="4" w:space="0" w:color="auto"/>
              <w:left w:val="single" w:sz="4" w:space="0" w:color="auto"/>
              <w:bottom w:val="nil"/>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 xml:space="preserve">6.7.3. Forcimi i mekanizmave për identifikimin gjithëpërfshirës të grupeve të margjinalizuara, zhvillo mekanizma për t'i arritur ato dhe për të krijuar avokim efektiv për këto grupe. </w:t>
            </w:r>
          </w:p>
        </w:tc>
        <w:tc>
          <w:tcPr>
            <w:tcW w:w="78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Takimet me autoritetet lokale, përfaqësues të komuniteteve të margjinalizuara për zbatimin e programit të vaksinimit</w:t>
            </w:r>
          </w:p>
          <w:p w:rsidR="004F1A82" w:rsidRPr="00F17B4A" w:rsidRDefault="004F1A82" w:rsidP="00BB4474">
            <w:pPr>
              <w:rPr>
                <w:rFonts w:ascii="Book Antiqua" w:hAnsi="Book Antiqua"/>
              </w:rPr>
            </w:pP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 Institucionet e KPSh-së</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 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Raportet nga takimet me grupet e interesit </w:t>
            </w:r>
          </w:p>
        </w:tc>
      </w:tr>
      <w:tr w:rsidR="004F1A82" w:rsidRPr="00F17B4A" w:rsidTr="00EA0B88">
        <w:trPr>
          <w:trHeight w:val="2208"/>
        </w:trPr>
        <w:tc>
          <w:tcPr>
            <w:tcW w:w="0" w:type="auto"/>
            <w:vMerge/>
            <w:tcBorders>
              <w:top w:val="single" w:sz="4" w:space="0" w:color="auto"/>
              <w:left w:val="single" w:sz="4" w:space="0" w:color="auto"/>
              <w:bottom w:val="nil"/>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Trajnimet për menaxherët dhe personelin shëndetësor të imunizimit në ngritjen e aftësive të komunikimit</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2019-2021</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5,000 €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40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510"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Lista e personave të trajnuar, raportet nga takimet e realizuara</w:t>
            </w:r>
          </w:p>
        </w:tc>
      </w:tr>
      <w:tr w:rsidR="004F1A82" w:rsidRPr="00F17B4A" w:rsidTr="00EA0B88">
        <w:trPr>
          <w:trHeight w:val="824"/>
        </w:trPr>
        <w:tc>
          <w:tcPr>
            <w:tcW w:w="711" w:type="pct"/>
            <w:tcBorders>
              <w:top w:val="nil"/>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Aktivitetet për komunikim dhe mobilizim social për grupet për të rritur kërkesën dhe qasjen e tyre për imunizim</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3.000 €</w:t>
            </w:r>
          </w:p>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 Institucionet e KPSh-së</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Raportet e aktiviteteve në komunitet të realizuara</w:t>
            </w:r>
          </w:p>
        </w:tc>
      </w:tr>
      <w:tr w:rsidR="004F1A82" w:rsidRPr="00F17B4A" w:rsidTr="00EA0B88">
        <w:trPr>
          <w:trHeight w:val="1512"/>
        </w:trPr>
        <w:tc>
          <w:tcPr>
            <w:tcW w:w="711" w:type="pct"/>
            <w:vMerge w:val="restart"/>
            <w:tcBorders>
              <w:top w:val="single" w:sz="4" w:space="0" w:color="auto"/>
              <w:left w:val="single" w:sz="4" w:space="0" w:color="auto"/>
              <w:bottom w:val="nil"/>
              <w:right w:val="single" w:sz="4" w:space="0" w:color="auto"/>
            </w:tcBorders>
            <w:shd w:val="clear" w:color="auto" w:fill="C2D69B" w:themeFill="accent3" w:themeFillTint="99"/>
          </w:tcPr>
          <w:p w:rsidR="004F1A82" w:rsidRPr="00F17B4A" w:rsidRDefault="004F1A82" w:rsidP="00BB4474">
            <w:pPr>
              <w:rPr>
                <w:rFonts w:ascii="Book Antiqua" w:hAnsi="Book Antiqua"/>
              </w:rPr>
            </w:pPr>
            <w:r w:rsidRPr="00F17B4A">
              <w:rPr>
                <w:rFonts w:ascii="Book Antiqua" w:hAnsi="Book Antiqua"/>
              </w:rPr>
              <w:t>6.7.4. Forcimi i mekanizmave për identifikimin e fëmijëve të pa vaksinuar si dhe përmirësimin e cilësisë të të dhënave për vlerësim të mbulueshmërisëme vaksinim.</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Studim hulumtues për identifi</w:t>
            </w:r>
            <w:r w:rsidR="00114982">
              <w:rPr>
                <w:rFonts w:ascii="Book Antiqua" w:hAnsi="Book Antiqua"/>
              </w:rPr>
              <w:t>kimin e fëmijëve të pavaksinuar</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4.000 €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4.000 €</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4.000 €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 Institucionet e KPSh-së</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Studimet e publikuara</w:t>
            </w:r>
          </w:p>
        </w:tc>
      </w:tr>
      <w:tr w:rsidR="004F1A82" w:rsidRPr="00F17B4A" w:rsidTr="00EA0B88">
        <w:trPr>
          <w:trHeight w:val="540"/>
        </w:trPr>
        <w:tc>
          <w:tcPr>
            <w:tcW w:w="0" w:type="auto"/>
            <w:vMerge/>
            <w:tcBorders>
              <w:top w:val="single" w:sz="4" w:space="0" w:color="auto"/>
              <w:left w:val="single" w:sz="4" w:space="0" w:color="auto"/>
              <w:bottom w:val="nil"/>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Identifikimi i fëmijëve të pa vaksinuar përmes programit të vizitave në shtëpi për kujdes ndaj nënës dhe fëmijës</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3.000 €</w:t>
            </w:r>
          </w:p>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 Institucionet e KPSh-së</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Numri i identifikuar i fëmijëve të pavaksinuar</w:t>
            </w:r>
          </w:p>
        </w:tc>
      </w:tr>
      <w:tr w:rsidR="004F1A82" w:rsidRPr="00F17B4A" w:rsidTr="00EA0B88">
        <w:trPr>
          <w:trHeight w:val="1872"/>
        </w:trPr>
        <w:tc>
          <w:tcPr>
            <w:tcW w:w="0" w:type="auto"/>
            <w:vMerge/>
            <w:tcBorders>
              <w:top w:val="single" w:sz="4" w:space="0" w:color="auto"/>
              <w:left w:val="single" w:sz="4" w:space="0" w:color="auto"/>
              <w:bottom w:val="nil"/>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Fushata plotësuese të imunizim</w:t>
            </w:r>
            <w:r w:rsidR="00114982">
              <w:rPr>
                <w:rFonts w:ascii="Book Antiqua" w:hAnsi="Book Antiqua"/>
              </w:rPr>
              <w:t>it për popullatën e pavaksinuar</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Fushata për imunizim për popullatën e pavaksinuar e zhvilluar</w:t>
            </w:r>
          </w:p>
        </w:tc>
      </w:tr>
      <w:tr w:rsidR="004F1A82" w:rsidRPr="00F17B4A" w:rsidTr="00EA0B88">
        <w:trPr>
          <w:trHeight w:val="468"/>
        </w:trPr>
        <w:tc>
          <w:tcPr>
            <w:tcW w:w="0" w:type="auto"/>
            <w:vMerge/>
            <w:tcBorders>
              <w:top w:val="single" w:sz="4" w:space="0" w:color="auto"/>
              <w:left w:val="single" w:sz="4" w:space="0" w:color="auto"/>
              <w:bottom w:val="nil"/>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Shënimi i javës botërore të imunizimit</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2.000 €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 </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 Institucionet e KPSh-së</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Raport nga aktiviteti i realizuar</w:t>
            </w:r>
          </w:p>
        </w:tc>
      </w:tr>
      <w:tr w:rsidR="004F1A82" w:rsidRPr="00F17B4A" w:rsidTr="00EA0B88">
        <w:trPr>
          <w:trHeight w:val="2124"/>
        </w:trPr>
        <w:tc>
          <w:tcPr>
            <w:tcW w:w="711" w:type="pct"/>
            <w:vMerge w:val="restart"/>
            <w:tcBorders>
              <w:top w:val="nil"/>
              <w:left w:val="single" w:sz="4" w:space="0" w:color="auto"/>
              <w:bottom w:val="single" w:sz="4" w:space="0" w:color="auto"/>
              <w:right w:val="single" w:sz="4" w:space="0" w:color="auto"/>
            </w:tcBorders>
            <w:shd w:val="clear" w:color="auto" w:fill="C2D69B" w:themeFill="accent3" w:themeFillTint="99"/>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Trajnimet dhe vizitat mbikëqyrëse për të eliminuar kontraindikacionet false për imunizim</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2.000 €</w:t>
            </w:r>
          </w:p>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 Institucionet e KPSh-së</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Trajnimet dhe vizitat mbikëqyrëse për të eliminuar kontraindikacionet false për imunizim të zhvilluara</w:t>
            </w:r>
          </w:p>
        </w:tc>
      </w:tr>
      <w:tr w:rsidR="004F1A82" w:rsidRPr="00F17B4A" w:rsidTr="00EA0B88">
        <w:trPr>
          <w:trHeight w:val="294"/>
        </w:trPr>
        <w:tc>
          <w:tcPr>
            <w:tcW w:w="0" w:type="auto"/>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Përpilimi, shtypja dhe shpërndarja e materialeve informuese për rëndësinë e vaksinimit në të gj</w:t>
            </w:r>
            <w:r w:rsidR="00114982">
              <w:rPr>
                <w:rFonts w:ascii="Book Antiqua" w:hAnsi="Book Antiqua"/>
              </w:rPr>
              <w:t>itha institucionet shëndetësore</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5,000 €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5,000 €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w:t>
            </w:r>
          </w:p>
          <w:p w:rsidR="004F1A82" w:rsidRPr="00F17B4A" w:rsidRDefault="004F1A82" w:rsidP="00BB4474">
            <w:pPr>
              <w:rPr>
                <w:rFonts w:ascii="Book Antiqua" w:hAnsi="Book Antiqua"/>
              </w:rPr>
            </w:pPr>
            <w:r w:rsidRPr="00F17B4A">
              <w:rPr>
                <w:rFonts w:ascii="Book Antiqua" w:hAnsi="Book Antiqua"/>
              </w:rPr>
              <w:t xml:space="preserve">Donatorët </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Materialet informuese për rëndësinë e vaksinimit të shtypura dhe të shpërndara në të gjitha institucionet shëndetësore</w:t>
            </w:r>
          </w:p>
        </w:tc>
      </w:tr>
      <w:tr w:rsidR="004F1A82" w:rsidRPr="00F17B4A" w:rsidTr="00EA0B88">
        <w:trPr>
          <w:trHeight w:val="246"/>
        </w:trPr>
        <w:tc>
          <w:tcPr>
            <w:tcW w:w="0" w:type="auto"/>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Përditësimi i Informatave të rregullta të imunizimit në faqet zyrtare të MSh dhe IKShPK </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1,000 €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1,000 €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w:t>
            </w:r>
          </w:p>
          <w:p w:rsidR="004F1A82" w:rsidRPr="00F17B4A" w:rsidRDefault="004F1A82" w:rsidP="00BB4474">
            <w:pPr>
              <w:rPr>
                <w:rFonts w:ascii="Book Antiqua" w:hAnsi="Book Antiqua"/>
              </w:rPr>
            </w:pPr>
            <w:r w:rsidRPr="00F17B4A">
              <w:rPr>
                <w:rFonts w:ascii="Book Antiqua" w:hAnsi="Book Antiqua"/>
              </w:rPr>
              <w:t xml:space="preserve">Donatorët </w:t>
            </w:r>
          </w:p>
        </w:tc>
        <w:tc>
          <w:tcPr>
            <w:tcW w:w="510"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IKShPK,</w:t>
            </w:r>
          </w:p>
          <w:p w:rsidR="004F1A82" w:rsidRPr="00F17B4A" w:rsidRDefault="004F1A82" w:rsidP="00BB4474">
            <w:pPr>
              <w:rPr>
                <w:rFonts w:ascii="Book Antiqua" w:hAnsi="Book Antiqua"/>
              </w:rPr>
            </w:pPr>
            <w:r w:rsidRPr="00F17B4A">
              <w:rPr>
                <w:rFonts w:ascii="Book Antiqua" w:hAnsi="Book Antiqua"/>
              </w:rPr>
              <w:t>Partnerët</w:t>
            </w:r>
          </w:p>
          <w:p w:rsidR="004F1A82" w:rsidRPr="00F17B4A" w:rsidRDefault="004F1A82" w:rsidP="00BB4474">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Raportet me informatat të përditësuara</w:t>
            </w:r>
          </w:p>
        </w:tc>
      </w:tr>
      <w:tr w:rsidR="004F1A82" w:rsidRPr="00F17B4A" w:rsidTr="00EA0B88">
        <w:trPr>
          <w:trHeight w:val="824"/>
        </w:trPr>
        <w:tc>
          <w:tcPr>
            <w:tcW w:w="711"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F1A82" w:rsidRPr="00F17B4A" w:rsidRDefault="004F1A82" w:rsidP="00BB4474">
            <w:pPr>
              <w:rPr>
                <w:rFonts w:ascii="Book Antiqua" w:hAnsi="Book Antiqua"/>
              </w:rPr>
            </w:pPr>
            <w:r w:rsidRPr="00F17B4A">
              <w:rPr>
                <w:rFonts w:ascii="Book Antiqua" w:hAnsi="Book Antiqua"/>
              </w:rPr>
              <w:t>6.7.5  Sigurimi i stafit të mjaftueshëm në kujdesin parësor shëndetësor për mbarëvajtjen e procesit të vaksinimit, realizimi i përtërirjes së zinxhirit të ftohtë në të gjitha nivelet.</w:t>
            </w: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Identifikimi i nevojave dhe planifikimi për rekrutimin e personelit shtesë për të mbështetur Programin Kombëtarë për Imunizim, me përshkrim të qartë të detyrave të punës</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2,000 €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Numri i personelit i rekrutuar </w:t>
            </w:r>
          </w:p>
        </w:tc>
      </w:tr>
      <w:tr w:rsidR="004F1A82" w:rsidRPr="00F17B4A" w:rsidTr="00EA0B88">
        <w:trPr>
          <w:trHeight w:val="824"/>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Fuqizimi i kapaciteteve të KPSh-së për mbarvajtje të procesit të vaksinimit dhe zinxhirit të ftohtë</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12"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20,000 €</w:t>
            </w:r>
          </w:p>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 Institucionet e KPSh-së, Komuna</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Kapacitetet në KPSh-së të fuqizuara</w:t>
            </w:r>
          </w:p>
        </w:tc>
      </w:tr>
      <w:tr w:rsidR="004F1A82" w:rsidRPr="00F17B4A" w:rsidTr="00EA0B88">
        <w:trPr>
          <w:trHeight w:val="1812"/>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Përmirësimi i mekanizmit për mbikëqyrje dhe raportim të rregullt për mirëmbajtje të zinxhirit të ftohtë</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12"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5,000 € </w:t>
            </w:r>
          </w:p>
          <w:p w:rsidR="004F1A82" w:rsidRPr="00F17B4A" w:rsidRDefault="004F1A82" w:rsidP="00BB4474">
            <w:pPr>
              <w:rPr>
                <w:rFonts w:ascii="Book Antiqua" w:hAnsi="Book Antiqua"/>
              </w:rPr>
            </w:pPr>
          </w:p>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 xml:space="preserve">      BK Donatorët</w:t>
            </w: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 QRShP , Institucionet e KPSh-së</w:t>
            </w:r>
          </w:p>
        </w:tc>
        <w:tc>
          <w:tcPr>
            <w:tcW w:w="441"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Mekanizmit për mbikëqyrje dhe raportim të rregullt për mirëmbajtje të zinxhirit të ftohtë i krijuar</w:t>
            </w:r>
          </w:p>
        </w:tc>
      </w:tr>
      <w:tr w:rsidR="004F1A82" w:rsidRPr="00F17B4A" w:rsidTr="00EA0B88">
        <w:trPr>
          <w:trHeight w:val="1188"/>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Trajnime e vazhdueshme për personelin shëndetësor </w:t>
            </w:r>
          </w:p>
          <w:p w:rsidR="004F1A82" w:rsidRPr="00F17B4A" w:rsidRDefault="004F1A82" w:rsidP="00BB4474">
            <w:pPr>
              <w:rPr>
                <w:rFonts w:ascii="Book Antiqua" w:hAnsi="Book Antiqua"/>
              </w:rPr>
            </w:pP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r w:rsidR="004F1A82" w:rsidRPr="00F17B4A">
              <w:rPr>
                <w:rFonts w:ascii="Book Antiqua" w:hAnsi="Book Antiqua"/>
              </w:rPr>
              <w:t>-</w:t>
            </w:r>
            <w:r>
              <w:rPr>
                <w:rFonts w:ascii="Book Antiqua" w:hAnsi="Book Antiqua"/>
              </w:rPr>
              <w:t>2025</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346"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3,000 €</w:t>
            </w:r>
          </w:p>
        </w:tc>
        <w:tc>
          <w:tcPr>
            <w:tcW w:w="40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BK</w:t>
            </w:r>
          </w:p>
        </w:tc>
        <w:tc>
          <w:tcPr>
            <w:tcW w:w="510"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IKShPK</w:t>
            </w:r>
          </w:p>
          <w:p w:rsidR="004F1A82" w:rsidRPr="00F17B4A" w:rsidRDefault="004F1A82" w:rsidP="00BB4474">
            <w:pPr>
              <w:rPr>
                <w:rFonts w:ascii="Book Antiqua" w:hAnsi="Book Antiqua"/>
              </w:rPr>
            </w:pP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Lista e personave të trajnuar</w:t>
            </w:r>
          </w:p>
        </w:tc>
      </w:tr>
      <w:tr w:rsidR="004F1A82" w:rsidRPr="00F17B4A" w:rsidTr="00EA0B88">
        <w:trPr>
          <w:trHeight w:val="298"/>
        </w:trPr>
        <w:tc>
          <w:tcPr>
            <w:tcW w:w="0" w:type="auto"/>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F1A82" w:rsidRPr="00F17B4A" w:rsidRDefault="004F1A82" w:rsidP="00BB4474">
            <w:pPr>
              <w:rPr>
                <w:rFonts w:ascii="Book Antiqua" w:hAnsi="Book Antiqua"/>
              </w:rPr>
            </w:pPr>
          </w:p>
        </w:tc>
        <w:tc>
          <w:tcPr>
            <w:tcW w:w="787"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Përditësimi i modulit për zinxhir të ftohtë</w:t>
            </w:r>
          </w:p>
        </w:tc>
        <w:tc>
          <w:tcPr>
            <w:tcW w:w="401" w:type="pct"/>
            <w:tcBorders>
              <w:top w:val="single" w:sz="4" w:space="0" w:color="auto"/>
              <w:left w:val="single" w:sz="4" w:space="0" w:color="auto"/>
              <w:bottom w:val="single" w:sz="4" w:space="0" w:color="auto"/>
              <w:right w:val="single" w:sz="4" w:space="0" w:color="auto"/>
            </w:tcBorders>
            <w:hideMark/>
          </w:tcPr>
          <w:p w:rsidR="004F1A82" w:rsidRPr="00F17B4A" w:rsidRDefault="00D8455B" w:rsidP="00BB4474">
            <w:pPr>
              <w:rPr>
                <w:rFonts w:ascii="Book Antiqua" w:hAnsi="Book Antiqua"/>
              </w:rPr>
            </w:pPr>
            <w:r>
              <w:rPr>
                <w:rFonts w:ascii="Book Antiqua" w:hAnsi="Book Antiqua"/>
              </w:rPr>
              <w:t>2023</w:t>
            </w:r>
          </w:p>
        </w:tc>
        <w:tc>
          <w:tcPr>
            <w:tcW w:w="312"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1,500 €</w:t>
            </w: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346"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p>
        </w:tc>
        <w:tc>
          <w:tcPr>
            <w:tcW w:w="407" w:type="pct"/>
            <w:tcBorders>
              <w:top w:val="single" w:sz="4" w:space="0" w:color="auto"/>
              <w:left w:val="single" w:sz="4" w:space="0" w:color="auto"/>
              <w:bottom w:val="single" w:sz="4" w:space="0" w:color="auto"/>
              <w:right w:val="single" w:sz="4" w:space="0" w:color="auto"/>
            </w:tcBorders>
          </w:tcPr>
          <w:p w:rsidR="004F1A82" w:rsidRPr="00F17B4A" w:rsidRDefault="004F1A82" w:rsidP="00BB4474">
            <w:pPr>
              <w:rPr>
                <w:rFonts w:ascii="Book Antiqua" w:hAnsi="Book Antiqua"/>
              </w:rPr>
            </w:pPr>
            <w:r w:rsidRPr="00F17B4A">
              <w:rPr>
                <w:rFonts w:ascii="Book Antiqua" w:hAnsi="Book Antiqua"/>
              </w:rPr>
              <w:t xml:space="preserve">BK </w:t>
            </w:r>
          </w:p>
          <w:p w:rsidR="004F1A82" w:rsidRPr="00F17B4A" w:rsidRDefault="004F1A82" w:rsidP="00BB4474">
            <w:pPr>
              <w:rPr>
                <w:rFonts w:ascii="Book Antiqua" w:hAnsi="Book Antiqua"/>
              </w:rPr>
            </w:pPr>
          </w:p>
        </w:tc>
        <w:tc>
          <w:tcPr>
            <w:tcW w:w="510"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IKShPK</w:t>
            </w:r>
          </w:p>
        </w:tc>
        <w:tc>
          <w:tcPr>
            <w:tcW w:w="441"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MSh</w:t>
            </w:r>
            <w:r w:rsidRPr="00F17B4A">
              <w:rPr>
                <w:rFonts w:ascii="Book Antiqua" w:hAnsi="Book Antiqua"/>
              </w:rPr>
              <w:br/>
              <w:t>Partnerët</w:t>
            </w:r>
          </w:p>
        </w:tc>
        <w:tc>
          <w:tcPr>
            <w:tcW w:w="738" w:type="pct"/>
            <w:tcBorders>
              <w:top w:val="single" w:sz="4" w:space="0" w:color="auto"/>
              <w:left w:val="single" w:sz="4" w:space="0" w:color="auto"/>
              <w:bottom w:val="single" w:sz="4" w:space="0" w:color="auto"/>
              <w:right w:val="single" w:sz="4" w:space="0" w:color="auto"/>
            </w:tcBorders>
            <w:hideMark/>
          </w:tcPr>
          <w:p w:rsidR="004F1A82" w:rsidRPr="00F17B4A" w:rsidRDefault="004F1A82" w:rsidP="00BB4474">
            <w:pPr>
              <w:rPr>
                <w:rFonts w:ascii="Book Antiqua" w:hAnsi="Book Antiqua"/>
              </w:rPr>
            </w:pPr>
            <w:r w:rsidRPr="00F17B4A">
              <w:rPr>
                <w:rFonts w:ascii="Book Antiqua" w:hAnsi="Book Antiqua"/>
              </w:rPr>
              <w:t>Modulet e rishikuara dhe publikuara</w:t>
            </w:r>
          </w:p>
        </w:tc>
      </w:tr>
    </w:tbl>
    <w:p w:rsidR="004F1A82" w:rsidRPr="00F17B4A" w:rsidRDefault="004F1A82" w:rsidP="00BB4474">
      <w:pPr>
        <w:rPr>
          <w:rFonts w:ascii="Book Antiqua" w:hAnsi="Book Antiqua"/>
        </w:rPr>
      </w:pPr>
    </w:p>
    <w:p w:rsidR="00497E17" w:rsidRPr="00F17B4A" w:rsidRDefault="00D85E80" w:rsidP="00BB4474">
      <w:pPr>
        <w:rPr>
          <w:rFonts w:ascii="Book Antiqua" w:hAnsi="Book Antiqua"/>
        </w:rPr>
      </w:pPr>
      <w:r w:rsidRPr="00F17B4A">
        <w:rPr>
          <w:rFonts w:ascii="Book Antiqua" w:hAnsi="Book Antiqua"/>
        </w:rPr>
        <w:t>TB</w:t>
      </w:r>
    </w:p>
    <w:p w:rsidR="00D85E80" w:rsidRPr="00F17B4A" w:rsidRDefault="00D85E80" w:rsidP="00BB4474">
      <w:pPr>
        <w:rPr>
          <w:rFonts w:ascii="Book Antiqua" w:hAnsi="Book Antiqua"/>
        </w:rPr>
      </w:pPr>
    </w:p>
    <w:tbl>
      <w:tblPr>
        <w:tblpPr w:leftFromText="180" w:rightFromText="180" w:vertAnchor="text" w:tblpXSpec="center" w:tblpY="1"/>
        <w:tblOverlap w:val="never"/>
        <w:tblW w:w="5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844"/>
        <w:gridCol w:w="1000"/>
        <w:gridCol w:w="916"/>
        <w:gridCol w:w="916"/>
        <w:gridCol w:w="1019"/>
        <w:gridCol w:w="1473"/>
        <w:gridCol w:w="1374"/>
        <w:gridCol w:w="1324"/>
        <w:gridCol w:w="2127"/>
      </w:tblGrid>
      <w:tr w:rsidR="00D85E80" w:rsidRPr="00F17B4A" w:rsidTr="00EA0B88">
        <w:trPr>
          <w:trHeight w:val="1511"/>
        </w:trPr>
        <w:tc>
          <w:tcPr>
            <w:tcW w:w="829" w:type="pct"/>
            <w:tcBorders>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r w:rsidRPr="00114982">
              <w:rPr>
                <w:rFonts w:ascii="Book Antiqua" w:hAnsi="Book Antiqua"/>
              </w:rPr>
              <w:t>6.6.3. Sigurimi i kapacitetit të duhur izolues spitalor për rastet e sëmundjeve shumë të transmetueshme, duke përfshirë TB-në pulmonare të transmetueshme.</w:t>
            </w:r>
          </w:p>
        </w:tc>
        <w:tc>
          <w:tcPr>
            <w:tcW w:w="913"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 xml:space="preserve">1. Renovimi i ambienteve spitalore ku trajtohet TB </w:t>
            </w:r>
            <w:r w:rsidR="00114982" w:rsidRPr="00114982">
              <w:rPr>
                <w:rFonts w:ascii="Book Antiqua" w:hAnsi="Book Antiqua"/>
              </w:rPr>
              <w:t>në Kl</w:t>
            </w:r>
            <w:r w:rsidRPr="00114982">
              <w:rPr>
                <w:rFonts w:ascii="Book Antiqua" w:hAnsi="Book Antiqua"/>
              </w:rPr>
              <w:t xml:space="preserve"> Pulmologjike Prishtinë,</w:t>
            </w:r>
            <w:r w:rsidR="00114982" w:rsidRPr="00114982">
              <w:rPr>
                <w:rFonts w:ascii="Book Antiqua" w:hAnsi="Book Antiqua"/>
              </w:rPr>
              <w:t xml:space="preserve"> </w:t>
            </w:r>
            <w:r w:rsidRPr="00114982">
              <w:rPr>
                <w:rFonts w:ascii="Book Antiqua" w:hAnsi="Book Antiqua"/>
              </w:rPr>
              <w:t>SP Gjakovë, SP Pejë, SP Mitrovicë</w:t>
            </w:r>
          </w:p>
          <w:p w:rsidR="00D85E80" w:rsidRPr="00114982" w:rsidRDefault="00D85E80" w:rsidP="00BB4474">
            <w:pPr>
              <w:rPr>
                <w:rFonts w:ascii="Book Antiqua" w:hAnsi="Book Antiqua"/>
              </w:rPr>
            </w:pPr>
            <w:r w:rsidRPr="00114982">
              <w:rPr>
                <w:rFonts w:ascii="Book Antiqua" w:hAnsi="Book Antiqua"/>
              </w:rPr>
              <w:t>2. Përmirësimi i kapaciteteve të trajtimit të TB-së në KPSh - 12 QKMF</w:t>
            </w:r>
          </w:p>
        </w:tc>
        <w:tc>
          <w:tcPr>
            <w:tcW w:w="321"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X</w:t>
            </w:r>
          </w:p>
        </w:tc>
        <w:tc>
          <w:tcPr>
            <w:tcW w:w="294"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X</w:t>
            </w:r>
          </w:p>
        </w:tc>
        <w:tc>
          <w:tcPr>
            <w:tcW w:w="294"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X</w:t>
            </w:r>
          </w:p>
        </w:tc>
        <w:tc>
          <w:tcPr>
            <w:tcW w:w="327"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150,000.00</w:t>
            </w:r>
          </w:p>
          <w:p w:rsidR="00D85E80" w:rsidRPr="00114982" w:rsidRDefault="00D85E80" w:rsidP="00BB4474">
            <w:pPr>
              <w:rPr>
                <w:rFonts w:ascii="Book Antiqua" w:hAnsi="Book Antiqua"/>
              </w:rPr>
            </w:pPr>
          </w:p>
          <w:p w:rsidR="00D85E80" w:rsidRPr="00114982" w:rsidRDefault="00D85E80" w:rsidP="00BB4474">
            <w:pPr>
              <w:rPr>
                <w:rFonts w:ascii="Book Antiqua" w:hAnsi="Book Antiqua"/>
              </w:rPr>
            </w:pPr>
          </w:p>
          <w:p w:rsidR="00D85E80" w:rsidRPr="00114982" w:rsidRDefault="00D85E80" w:rsidP="00BB4474">
            <w:pPr>
              <w:rPr>
                <w:rFonts w:ascii="Book Antiqua" w:hAnsi="Book Antiqua"/>
              </w:rPr>
            </w:pPr>
          </w:p>
          <w:p w:rsidR="00D85E80" w:rsidRPr="00114982" w:rsidRDefault="00D85E80" w:rsidP="00BB4474">
            <w:pPr>
              <w:rPr>
                <w:rFonts w:ascii="Book Antiqua" w:hAnsi="Book Antiqua"/>
              </w:rPr>
            </w:pPr>
          </w:p>
          <w:p w:rsidR="00D85E80" w:rsidRPr="00114982" w:rsidRDefault="00D85E80" w:rsidP="00BB4474">
            <w:pPr>
              <w:rPr>
                <w:rFonts w:ascii="Book Antiqua" w:hAnsi="Book Antiqua"/>
              </w:rPr>
            </w:pPr>
            <w:r w:rsidRPr="00114982">
              <w:rPr>
                <w:rFonts w:ascii="Book Antiqua" w:hAnsi="Book Antiqua"/>
              </w:rPr>
              <w:t>70,000.00</w:t>
            </w:r>
          </w:p>
        </w:tc>
        <w:tc>
          <w:tcPr>
            <w:tcW w:w="473"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BK</w:t>
            </w:r>
          </w:p>
          <w:p w:rsidR="00D85E80" w:rsidRPr="00114982" w:rsidRDefault="00D85E80" w:rsidP="00BB4474">
            <w:pPr>
              <w:rPr>
                <w:rFonts w:ascii="Book Antiqua" w:hAnsi="Book Antiqua"/>
              </w:rPr>
            </w:pPr>
            <w:r w:rsidRPr="00114982">
              <w:rPr>
                <w:rFonts w:ascii="Book Antiqua" w:hAnsi="Book Antiqua"/>
              </w:rPr>
              <w:t>Donatoret</w:t>
            </w:r>
          </w:p>
        </w:tc>
        <w:tc>
          <w:tcPr>
            <w:tcW w:w="441"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MSh</w:t>
            </w:r>
          </w:p>
        </w:tc>
        <w:tc>
          <w:tcPr>
            <w:tcW w:w="425"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ShSKUK</w:t>
            </w:r>
          </w:p>
        </w:tc>
        <w:tc>
          <w:tcPr>
            <w:tcW w:w="683" w:type="pct"/>
            <w:tcBorders>
              <w:top w:val="single" w:sz="4" w:space="0" w:color="auto"/>
              <w:left w:val="single" w:sz="4" w:space="0" w:color="auto"/>
              <w:bottom w:val="single" w:sz="4" w:space="0" w:color="auto"/>
              <w:right w:val="single" w:sz="4" w:space="0" w:color="auto"/>
            </w:tcBorders>
          </w:tcPr>
          <w:p w:rsidR="00D85E80" w:rsidRPr="00F17B4A" w:rsidRDefault="00114982" w:rsidP="00BB4474">
            <w:pPr>
              <w:rPr>
                <w:rFonts w:ascii="Book Antiqua" w:hAnsi="Book Antiqua"/>
              </w:rPr>
            </w:pPr>
            <w:r>
              <w:rPr>
                <w:rFonts w:ascii="Book Antiqua" w:hAnsi="Book Antiqua"/>
              </w:rPr>
              <w:t>Hap[sirat e siguruara dhe funksionalizuara</w:t>
            </w:r>
          </w:p>
        </w:tc>
      </w:tr>
      <w:tr w:rsidR="00D85E80" w:rsidRPr="00F17B4A" w:rsidTr="00EA0B88">
        <w:trPr>
          <w:trHeight w:val="1511"/>
        </w:trPr>
        <w:tc>
          <w:tcPr>
            <w:tcW w:w="829" w:type="pct"/>
            <w:tcBorders>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highlight w:val="cyan"/>
              </w:rPr>
            </w:pPr>
            <w:r w:rsidRPr="00114982">
              <w:rPr>
                <w:rFonts w:ascii="Book Antiqua" w:hAnsi="Book Antiqua"/>
              </w:rPr>
              <w:t>6.6.2. Merrni parasysh zhvillimin e një plani për integrimin gradual të aktiviteteve të kontrollit të TB-së në sistemin e përgjithshëm të kujdesit shëndetësor, pasi barra e sëmundjes zvogëlohet.</w:t>
            </w:r>
          </w:p>
        </w:tc>
        <w:tc>
          <w:tcPr>
            <w:tcW w:w="913" w:type="pct"/>
            <w:tcBorders>
              <w:top w:val="single" w:sz="4" w:space="0" w:color="auto"/>
              <w:left w:val="single" w:sz="4" w:space="0" w:color="auto"/>
              <w:bottom w:val="single" w:sz="4" w:space="0" w:color="auto"/>
              <w:right w:val="single" w:sz="4" w:space="0" w:color="auto"/>
            </w:tcBorders>
          </w:tcPr>
          <w:p w:rsidR="00D85E80" w:rsidRPr="00114982" w:rsidRDefault="007D41C7" w:rsidP="00BB4474">
            <w:pPr>
              <w:rPr>
                <w:rFonts w:ascii="Book Antiqua" w:hAnsi="Book Antiqua"/>
              </w:rPr>
            </w:pPr>
            <w:r>
              <w:rPr>
                <w:rFonts w:ascii="Book Antiqua" w:hAnsi="Book Antiqua"/>
              </w:rPr>
              <w:t>Hartimi i UK “Menaxhimi i</w:t>
            </w:r>
            <w:r w:rsidR="00D85E80" w:rsidRPr="00114982">
              <w:rPr>
                <w:rFonts w:ascii="Book Antiqua" w:hAnsi="Book Antiqua"/>
              </w:rPr>
              <w:t xml:space="preserve"> TB ne KPSH”</w:t>
            </w:r>
          </w:p>
        </w:tc>
        <w:tc>
          <w:tcPr>
            <w:tcW w:w="321"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X</w:t>
            </w:r>
          </w:p>
        </w:tc>
        <w:tc>
          <w:tcPr>
            <w:tcW w:w="294"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p>
        </w:tc>
        <w:tc>
          <w:tcPr>
            <w:tcW w:w="294"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p>
        </w:tc>
        <w:tc>
          <w:tcPr>
            <w:tcW w:w="327"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5000</w:t>
            </w:r>
          </w:p>
        </w:tc>
        <w:tc>
          <w:tcPr>
            <w:tcW w:w="473"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BK</w:t>
            </w:r>
          </w:p>
          <w:p w:rsidR="00D85E80" w:rsidRPr="00114982" w:rsidRDefault="00D85E80" w:rsidP="00BB4474">
            <w:pPr>
              <w:rPr>
                <w:rFonts w:ascii="Book Antiqua" w:hAnsi="Book Antiqua"/>
              </w:rPr>
            </w:pPr>
            <w:r w:rsidRPr="00114982">
              <w:rPr>
                <w:rFonts w:ascii="Book Antiqua" w:hAnsi="Book Antiqua"/>
              </w:rPr>
              <w:t>Donatoret</w:t>
            </w:r>
          </w:p>
        </w:tc>
        <w:tc>
          <w:tcPr>
            <w:tcW w:w="441"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r w:rsidRPr="00114982">
              <w:rPr>
                <w:rFonts w:ascii="Book Antiqua" w:hAnsi="Book Antiqua"/>
              </w:rPr>
              <w:t>MSh</w:t>
            </w:r>
          </w:p>
        </w:tc>
        <w:tc>
          <w:tcPr>
            <w:tcW w:w="425" w:type="pct"/>
            <w:tcBorders>
              <w:top w:val="single" w:sz="4" w:space="0" w:color="auto"/>
              <w:left w:val="single" w:sz="4" w:space="0" w:color="auto"/>
              <w:bottom w:val="single" w:sz="4" w:space="0" w:color="auto"/>
              <w:right w:val="single" w:sz="4" w:space="0" w:color="auto"/>
            </w:tcBorders>
          </w:tcPr>
          <w:p w:rsidR="00D85E80" w:rsidRPr="00114982" w:rsidRDefault="00D85E80" w:rsidP="00BB4474">
            <w:pPr>
              <w:rPr>
                <w:rFonts w:ascii="Book Antiqua" w:hAnsi="Book Antiqua"/>
              </w:rPr>
            </w:pPr>
          </w:p>
        </w:tc>
        <w:tc>
          <w:tcPr>
            <w:tcW w:w="683" w:type="pct"/>
            <w:tcBorders>
              <w:top w:val="single" w:sz="4" w:space="0" w:color="auto"/>
              <w:left w:val="single" w:sz="4" w:space="0" w:color="auto"/>
              <w:bottom w:val="single" w:sz="4" w:space="0" w:color="auto"/>
              <w:right w:val="single" w:sz="4" w:space="0" w:color="auto"/>
            </w:tcBorders>
          </w:tcPr>
          <w:p w:rsidR="00D85E80" w:rsidRPr="00F17B4A" w:rsidRDefault="00114982" w:rsidP="00BB4474">
            <w:pPr>
              <w:rPr>
                <w:rFonts w:ascii="Book Antiqua" w:hAnsi="Book Antiqua"/>
              </w:rPr>
            </w:pPr>
            <w:r>
              <w:rPr>
                <w:rFonts w:ascii="Book Antiqua" w:hAnsi="Book Antiqua"/>
              </w:rPr>
              <w:t>UK I aprovuar</w:t>
            </w:r>
          </w:p>
        </w:tc>
      </w:tr>
    </w:tbl>
    <w:p w:rsidR="00D85E80" w:rsidRPr="00F17B4A" w:rsidRDefault="00D85E80" w:rsidP="00BB4474">
      <w:pPr>
        <w:rPr>
          <w:rFonts w:ascii="Book Antiqua" w:hAnsi="Book Antiqua"/>
        </w:rPr>
      </w:pPr>
    </w:p>
    <w:p w:rsidR="00D85E80" w:rsidRDefault="00D85E80" w:rsidP="00BB4474">
      <w:pPr>
        <w:rPr>
          <w:rFonts w:ascii="Book Antiqua" w:hAnsi="Book Antiqua"/>
        </w:rPr>
      </w:pPr>
    </w:p>
    <w:p w:rsidR="00114982" w:rsidRPr="00F17B4A" w:rsidRDefault="00114982"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AGJENCIA E USHQIMIT DHE VETERINES</w:t>
      </w:r>
    </w:p>
    <w:p w:rsidR="00D85E80" w:rsidRPr="00F17B4A" w:rsidRDefault="00D85E80" w:rsidP="00BB4474">
      <w:pPr>
        <w:rPr>
          <w:rFonts w:ascii="Book Antiqua" w:hAnsi="Book Antiqua"/>
        </w:rPr>
      </w:pPr>
    </w:p>
    <w:tbl>
      <w:tblPr>
        <w:tblW w:w="5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391"/>
        <w:gridCol w:w="1463"/>
        <w:gridCol w:w="836"/>
        <w:gridCol w:w="836"/>
        <w:gridCol w:w="836"/>
        <w:gridCol w:w="1666"/>
        <w:gridCol w:w="6"/>
        <w:gridCol w:w="1821"/>
        <w:gridCol w:w="10"/>
        <w:gridCol w:w="1419"/>
        <w:gridCol w:w="10"/>
        <w:gridCol w:w="1616"/>
      </w:tblGrid>
      <w:tr w:rsidR="00D85E80" w:rsidRPr="00F17B4A" w:rsidTr="00D85E80">
        <w:trPr>
          <w:trHeight w:val="269"/>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FBE4D5"/>
          </w:tcPr>
          <w:p w:rsidR="00D85E80" w:rsidRPr="00F17B4A" w:rsidRDefault="00D85E80" w:rsidP="00BB4474">
            <w:pPr>
              <w:rPr>
                <w:rFonts w:ascii="Book Antiqua" w:hAnsi="Book Antiqua"/>
              </w:rPr>
            </w:pPr>
            <w:r w:rsidRPr="00F17B4A">
              <w:rPr>
                <w:rFonts w:ascii="Book Antiqua" w:hAnsi="Book Antiqua"/>
              </w:rPr>
              <w:t>Objekti</w:t>
            </w:r>
            <w:r w:rsidR="00114982">
              <w:rPr>
                <w:rFonts w:ascii="Book Antiqua" w:hAnsi="Book Antiqua"/>
              </w:rPr>
              <w:t>vi strategjik</w:t>
            </w:r>
          </w:p>
        </w:tc>
      </w:tr>
      <w:tr w:rsidR="00D85E80" w:rsidRPr="00F17B4A" w:rsidTr="00883476">
        <w:trPr>
          <w:trHeight w:val="269"/>
          <w:jc w:val="center"/>
        </w:trPr>
        <w:tc>
          <w:tcPr>
            <w:tcW w:w="1464"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D85E80" w:rsidRPr="00F17B4A" w:rsidRDefault="00D85E80" w:rsidP="00BB4474">
            <w:pPr>
              <w:rPr>
                <w:rFonts w:ascii="Book Antiqua" w:hAnsi="Book Antiqua"/>
              </w:rPr>
            </w:pPr>
            <w:r w:rsidRPr="00F17B4A">
              <w:rPr>
                <w:rFonts w:ascii="Book Antiqua" w:hAnsi="Book Antiqua"/>
              </w:rPr>
              <w:t xml:space="preserve">Objektivi specifik </w:t>
            </w:r>
          </w:p>
        </w:tc>
        <w:tc>
          <w:tcPr>
            <w:tcW w:w="1897" w:type="pct"/>
            <w:gridSpan w:val="6"/>
            <w:tcBorders>
              <w:top w:val="single" w:sz="4" w:space="0" w:color="auto"/>
              <w:left w:val="single" w:sz="4" w:space="0" w:color="auto"/>
              <w:bottom w:val="single" w:sz="4" w:space="0" w:color="auto"/>
              <w:right w:val="single" w:sz="4" w:space="0" w:color="auto"/>
            </w:tcBorders>
            <w:shd w:val="clear" w:color="auto" w:fill="E7E6E6"/>
            <w:vAlign w:val="center"/>
            <w:hideMark/>
          </w:tcPr>
          <w:p w:rsidR="00D85E80" w:rsidRPr="00F17B4A" w:rsidRDefault="00D85E80" w:rsidP="00BB4474">
            <w:pPr>
              <w:rPr>
                <w:rFonts w:ascii="Book Antiqua" w:hAnsi="Book Antiqua"/>
              </w:rPr>
            </w:pPr>
            <w:r w:rsidRPr="00F17B4A">
              <w:rPr>
                <w:rFonts w:ascii="Book Antiqua" w:hAnsi="Book Antiqua"/>
              </w:rPr>
              <w:t>Indikatori (-ët) për matjen e arritjes së objektivit</w:t>
            </w:r>
          </w:p>
        </w:tc>
        <w:tc>
          <w:tcPr>
            <w:tcW w:w="615"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D85E80" w:rsidRPr="00F17B4A" w:rsidRDefault="00D85E80" w:rsidP="00BB4474">
            <w:pPr>
              <w:rPr>
                <w:rFonts w:ascii="Book Antiqua" w:hAnsi="Book Antiqua"/>
              </w:rPr>
            </w:pPr>
            <w:r w:rsidRPr="00F17B4A">
              <w:rPr>
                <w:rFonts w:ascii="Book Antiqua" w:hAnsi="Book Antiqua"/>
              </w:rPr>
              <w:t xml:space="preserve">          Baza 2021</w:t>
            </w:r>
          </w:p>
        </w:tc>
        <w:tc>
          <w:tcPr>
            <w:tcW w:w="480"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D85E80" w:rsidRPr="00F17B4A" w:rsidRDefault="00D85E80" w:rsidP="00BB4474">
            <w:pPr>
              <w:rPr>
                <w:rFonts w:ascii="Book Antiqua" w:hAnsi="Book Antiqua"/>
              </w:rPr>
            </w:pPr>
            <w:r w:rsidRPr="00F17B4A">
              <w:rPr>
                <w:rFonts w:ascii="Book Antiqua" w:hAnsi="Book Antiqua"/>
              </w:rPr>
              <w:t xml:space="preserve"> Caku </w:t>
            </w:r>
            <w:r w:rsidR="00D8455B">
              <w:rPr>
                <w:rFonts w:ascii="Book Antiqua" w:hAnsi="Book Antiqua"/>
              </w:rPr>
              <w:t>2025</w:t>
            </w:r>
          </w:p>
        </w:tc>
        <w:tc>
          <w:tcPr>
            <w:tcW w:w="543" w:type="pct"/>
            <w:tcBorders>
              <w:top w:val="single" w:sz="4" w:space="0" w:color="auto"/>
              <w:left w:val="single" w:sz="4" w:space="0" w:color="auto"/>
              <w:bottom w:val="single" w:sz="4" w:space="0" w:color="auto"/>
              <w:right w:val="single" w:sz="4" w:space="0" w:color="auto"/>
            </w:tcBorders>
            <w:shd w:val="clear" w:color="auto" w:fill="E7E6E6"/>
            <w:vAlign w:val="center"/>
          </w:tcPr>
          <w:p w:rsidR="00D85E80" w:rsidRPr="00F17B4A" w:rsidRDefault="008E7F99" w:rsidP="00BB4474">
            <w:pPr>
              <w:rPr>
                <w:rFonts w:ascii="Book Antiqua" w:hAnsi="Book Antiqua"/>
              </w:rPr>
            </w:pPr>
            <w:r>
              <w:rPr>
                <w:rFonts w:ascii="Book Antiqua" w:hAnsi="Book Antiqua"/>
              </w:rPr>
              <w:t>Caku 2030</w:t>
            </w:r>
          </w:p>
        </w:tc>
      </w:tr>
      <w:tr w:rsidR="00D85E80" w:rsidRPr="00F17B4A" w:rsidTr="00EA0B88">
        <w:trPr>
          <w:trHeight w:val="647"/>
          <w:jc w:val="center"/>
        </w:trPr>
        <w:tc>
          <w:tcPr>
            <w:tcW w:w="661" w:type="pct"/>
            <w:vMerge w:val="restart"/>
            <w:tcBorders>
              <w:top w:val="single" w:sz="4" w:space="0" w:color="auto"/>
              <w:left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Rekomandimi</w:t>
            </w:r>
          </w:p>
          <w:p w:rsidR="00D85E80" w:rsidRPr="00F17B4A" w:rsidRDefault="00D85E80" w:rsidP="00BB4474">
            <w:pPr>
              <w:rPr>
                <w:rFonts w:ascii="Book Antiqua" w:hAnsi="Book Antiqua"/>
              </w:rPr>
            </w:pPr>
            <w:r w:rsidRPr="00F17B4A">
              <w:rPr>
                <w:rFonts w:ascii="Book Antiqua" w:hAnsi="Book Antiqua"/>
              </w:rPr>
              <w:t>ECDC</w:t>
            </w:r>
          </w:p>
        </w:tc>
        <w:tc>
          <w:tcPr>
            <w:tcW w:w="804" w:type="pct"/>
            <w:vMerge w:val="restart"/>
            <w:tcBorders>
              <w:top w:val="single" w:sz="4" w:space="0" w:color="auto"/>
              <w:left w:val="single" w:sz="4" w:space="0" w:color="auto"/>
              <w:right w:val="single" w:sz="4" w:space="0" w:color="auto"/>
            </w:tcBorders>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Aktiviteti</w:t>
            </w:r>
          </w:p>
        </w:tc>
        <w:tc>
          <w:tcPr>
            <w:tcW w:w="1897" w:type="pct"/>
            <w:gridSpan w:val="6"/>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615"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480"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543"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r>
      <w:tr w:rsidR="00D85E80" w:rsidRPr="00F17B4A" w:rsidTr="00EA0B88">
        <w:trPr>
          <w:trHeight w:val="530"/>
          <w:jc w:val="center"/>
        </w:trPr>
        <w:tc>
          <w:tcPr>
            <w:tcW w:w="661" w:type="pct"/>
            <w:vMerge/>
            <w:tcBorders>
              <w:left w:val="single" w:sz="4" w:space="0" w:color="auto"/>
              <w:right w:val="single" w:sz="4" w:space="0" w:color="auto"/>
            </w:tcBorders>
            <w:shd w:val="clear" w:color="auto" w:fill="C2D69B" w:themeFill="accent3" w:themeFillTint="99"/>
            <w:vAlign w:val="center"/>
            <w:hideMark/>
          </w:tcPr>
          <w:p w:rsidR="00D85E80" w:rsidRPr="00F17B4A" w:rsidRDefault="00D85E80" w:rsidP="00BB4474">
            <w:pPr>
              <w:rPr>
                <w:rFonts w:ascii="Book Antiqua" w:hAnsi="Book Antiqua"/>
              </w:rPr>
            </w:pPr>
          </w:p>
        </w:tc>
        <w:tc>
          <w:tcPr>
            <w:tcW w:w="804" w:type="pct"/>
            <w:vMerge/>
            <w:tcBorders>
              <w:left w:val="single" w:sz="4" w:space="0" w:color="auto"/>
              <w:right w:val="single" w:sz="4" w:space="0" w:color="auto"/>
            </w:tcBorders>
          </w:tcPr>
          <w:p w:rsidR="00D85E80" w:rsidRPr="00F17B4A" w:rsidRDefault="00D85E80" w:rsidP="00BB4474">
            <w:pPr>
              <w:rPr>
                <w:rFonts w:ascii="Book Antiqua" w:hAnsi="Book Antiqua"/>
              </w:rPr>
            </w:pPr>
          </w:p>
        </w:tc>
        <w:tc>
          <w:tcPr>
            <w:tcW w:w="492" w:type="pct"/>
            <w:vMerge w:val="restart"/>
            <w:tcBorders>
              <w:top w:val="nil"/>
              <w:left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Afati i zbatimit</w:t>
            </w:r>
          </w:p>
        </w:tc>
        <w:tc>
          <w:tcPr>
            <w:tcW w:w="842" w:type="pct"/>
            <w:gridSpan w:val="3"/>
            <w:tcBorders>
              <w:top w:val="nil"/>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 xml:space="preserve">         Kostoja totale</w:t>
            </w:r>
          </w:p>
        </w:tc>
        <w:tc>
          <w:tcPr>
            <w:tcW w:w="560" w:type="pct"/>
            <w:tcBorders>
              <w:top w:val="nil"/>
              <w:left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Burimi i financimit</w:t>
            </w:r>
          </w:p>
        </w:tc>
        <w:tc>
          <w:tcPr>
            <w:tcW w:w="614" w:type="pct"/>
            <w:gridSpan w:val="2"/>
            <w:tcBorders>
              <w:top w:val="single" w:sz="4" w:space="0" w:color="auto"/>
              <w:left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 xml:space="preserve">    Instucioni</w:t>
            </w:r>
          </w:p>
          <w:p w:rsidR="00D85E80" w:rsidRPr="00F17B4A" w:rsidRDefault="00D85E80" w:rsidP="00BB4474">
            <w:pPr>
              <w:rPr>
                <w:rFonts w:ascii="Book Antiqua" w:hAnsi="Book Antiqua"/>
              </w:rPr>
            </w:pPr>
            <w:r w:rsidRPr="00F17B4A">
              <w:rPr>
                <w:rFonts w:ascii="Book Antiqua" w:hAnsi="Book Antiqua"/>
              </w:rPr>
              <w:t xml:space="preserve">    udhëheqës</w:t>
            </w:r>
          </w:p>
        </w:tc>
        <w:tc>
          <w:tcPr>
            <w:tcW w:w="480" w:type="pct"/>
            <w:gridSpan w:val="2"/>
            <w:tcBorders>
              <w:top w:val="single" w:sz="4" w:space="0" w:color="auto"/>
              <w:left w:val="single" w:sz="4" w:space="0" w:color="auto"/>
              <w:right w:val="single" w:sz="4" w:space="0" w:color="auto"/>
            </w:tcBorders>
            <w:vAlign w:val="center"/>
            <w:hideMark/>
          </w:tcPr>
          <w:p w:rsidR="00D85E80" w:rsidRPr="00F17B4A" w:rsidRDefault="00D85E80" w:rsidP="00BB4474">
            <w:pPr>
              <w:rPr>
                <w:rFonts w:ascii="Book Antiqua" w:hAnsi="Book Antiqua"/>
              </w:rPr>
            </w:pPr>
            <w:r w:rsidRPr="00F17B4A">
              <w:rPr>
                <w:rFonts w:ascii="Book Antiqua" w:hAnsi="Book Antiqua"/>
              </w:rPr>
              <w:t>Instucioni mbështetës</w:t>
            </w:r>
          </w:p>
        </w:tc>
        <w:tc>
          <w:tcPr>
            <w:tcW w:w="547" w:type="pct"/>
            <w:gridSpan w:val="2"/>
            <w:tcBorders>
              <w:top w:val="single" w:sz="4" w:space="0" w:color="auto"/>
              <w:left w:val="single" w:sz="4" w:space="0" w:color="auto"/>
              <w:right w:val="single" w:sz="4" w:space="0" w:color="auto"/>
            </w:tcBorders>
            <w:hideMark/>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 xml:space="preserve">      Produkti</w:t>
            </w:r>
          </w:p>
        </w:tc>
      </w:tr>
      <w:tr w:rsidR="00D85E80" w:rsidRPr="00F17B4A" w:rsidTr="00EA0B88">
        <w:trPr>
          <w:trHeight w:val="500"/>
          <w:jc w:val="center"/>
        </w:trPr>
        <w:tc>
          <w:tcPr>
            <w:tcW w:w="661" w:type="pct"/>
            <w:vMerge/>
            <w:tcBorders>
              <w:left w:val="single" w:sz="4" w:space="0" w:color="auto"/>
              <w:bottom w:val="single" w:sz="4" w:space="0" w:color="auto"/>
              <w:right w:val="single" w:sz="4" w:space="0" w:color="auto"/>
            </w:tcBorders>
            <w:shd w:val="clear" w:color="auto" w:fill="C2D69B" w:themeFill="accent3" w:themeFillTint="99"/>
            <w:vAlign w:val="center"/>
            <w:hideMark/>
          </w:tcPr>
          <w:p w:rsidR="00D85E80" w:rsidRPr="00F17B4A" w:rsidRDefault="00D85E80" w:rsidP="00BB4474">
            <w:pPr>
              <w:rPr>
                <w:rFonts w:ascii="Book Antiqua" w:hAnsi="Book Antiqua"/>
              </w:rPr>
            </w:pPr>
          </w:p>
        </w:tc>
        <w:tc>
          <w:tcPr>
            <w:tcW w:w="804" w:type="pct"/>
            <w:vMerge/>
            <w:tcBorders>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492" w:type="pct"/>
            <w:vMerge/>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vAlign w:val="center"/>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Viti 1</w:t>
            </w:r>
          </w:p>
        </w:tc>
        <w:tc>
          <w:tcPr>
            <w:tcW w:w="281" w:type="pct"/>
            <w:tcBorders>
              <w:top w:val="single" w:sz="4" w:space="0" w:color="auto"/>
              <w:left w:val="single" w:sz="4" w:space="0" w:color="auto"/>
              <w:bottom w:val="single" w:sz="4" w:space="0" w:color="auto"/>
              <w:right w:val="single" w:sz="4" w:space="0" w:color="auto"/>
            </w:tcBorders>
            <w:vAlign w:val="center"/>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Viti 2</w:t>
            </w:r>
          </w:p>
        </w:tc>
        <w:tc>
          <w:tcPr>
            <w:tcW w:w="281" w:type="pct"/>
            <w:tcBorders>
              <w:top w:val="single" w:sz="4" w:space="0" w:color="auto"/>
              <w:left w:val="single" w:sz="4" w:space="0" w:color="auto"/>
              <w:bottom w:val="single" w:sz="4" w:space="0" w:color="auto"/>
              <w:right w:val="single" w:sz="4" w:space="0" w:color="auto"/>
            </w:tcBorders>
            <w:vAlign w:val="center"/>
          </w:tcPr>
          <w:p w:rsidR="00D85E80" w:rsidRPr="00F17B4A" w:rsidRDefault="00D85E80" w:rsidP="00BB4474">
            <w:pPr>
              <w:rPr>
                <w:rFonts w:ascii="Book Antiqua" w:hAnsi="Book Antiqua"/>
              </w:rPr>
            </w:pPr>
          </w:p>
          <w:p w:rsidR="00D85E80" w:rsidRPr="00F17B4A" w:rsidRDefault="00D85E80" w:rsidP="00BB4474">
            <w:pPr>
              <w:rPr>
                <w:rFonts w:ascii="Book Antiqua" w:hAnsi="Book Antiqua"/>
              </w:rPr>
            </w:pPr>
            <w:r w:rsidRPr="00F17B4A">
              <w:rPr>
                <w:rFonts w:ascii="Book Antiqua" w:hAnsi="Book Antiqua"/>
              </w:rPr>
              <w:t>Viti 3</w:t>
            </w:r>
          </w:p>
        </w:tc>
        <w:tc>
          <w:tcPr>
            <w:tcW w:w="0" w:type="auto"/>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614" w:type="pct"/>
            <w:gridSpan w:val="2"/>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480" w:type="pct"/>
            <w:gridSpan w:val="2"/>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c>
          <w:tcPr>
            <w:tcW w:w="547" w:type="pct"/>
            <w:gridSpan w:val="2"/>
            <w:tcBorders>
              <w:left w:val="single" w:sz="4" w:space="0" w:color="auto"/>
              <w:bottom w:val="single" w:sz="4" w:space="0" w:color="auto"/>
              <w:right w:val="single" w:sz="4" w:space="0" w:color="auto"/>
            </w:tcBorders>
            <w:vAlign w:val="center"/>
            <w:hideMark/>
          </w:tcPr>
          <w:p w:rsidR="00D85E80" w:rsidRPr="00F17B4A" w:rsidRDefault="00D85E80" w:rsidP="00BB4474">
            <w:pPr>
              <w:rPr>
                <w:rFonts w:ascii="Book Antiqua" w:hAnsi="Book Antiqua"/>
              </w:rPr>
            </w:pPr>
          </w:p>
        </w:tc>
      </w:tr>
      <w:tr w:rsidR="00D85E80"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r w:rsidRPr="00F17B4A">
              <w:rPr>
                <w:rFonts w:ascii="Book Antiqua" w:hAnsi="Book Antiqua"/>
              </w:rPr>
              <w:t xml:space="preserve">1. </w:t>
            </w:r>
            <w:r w:rsidR="00196B67" w:rsidRPr="00F17B4A">
              <w:rPr>
                <w:rFonts w:ascii="Book Antiqua" w:hAnsi="Book Antiqua"/>
              </w:rPr>
              <w:t>Zbatimi i të gjitha akteve nënligjore, udhëzimet dhe protokollet e nevojshme në mënyrë që të siguroni një sistem mbikëqyrjeje të mirë funksionuar dhe efikas në përputhje me legjislacionin</w:t>
            </w:r>
          </w:p>
        </w:tc>
        <w:tc>
          <w:tcPr>
            <w:tcW w:w="804" w:type="pct"/>
            <w:tcBorders>
              <w:top w:val="single" w:sz="4" w:space="0" w:color="auto"/>
              <w:left w:val="single" w:sz="4" w:space="0" w:color="auto"/>
              <w:bottom w:val="single" w:sz="4" w:space="0" w:color="auto"/>
              <w:right w:val="single" w:sz="4" w:space="0" w:color="auto"/>
            </w:tcBorders>
          </w:tcPr>
          <w:p w:rsidR="00D85E80" w:rsidRPr="00F17B4A" w:rsidRDefault="007D41C7" w:rsidP="00BB4474">
            <w:pPr>
              <w:rPr>
                <w:rFonts w:ascii="Book Antiqua" w:hAnsi="Book Antiqua"/>
              </w:rPr>
            </w:pPr>
            <w:r>
              <w:rPr>
                <w:rFonts w:ascii="Book Antiqua" w:hAnsi="Book Antiqua"/>
              </w:rPr>
              <w:t>Hartimi i legjislacionit seko</w:t>
            </w:r>
            <w:r w:rsidR="00D85E80" w:rsidRPr="00F17B4A">
              <w:rPr>
                <w:rFonts w:ascii="Book Antiqua" w:hAnsi="Book Antiqua"/>
              </w:rPr>
              <w:t>nd</w:t>
            </w:r>
            <w:r w:rsidR="00956B44">
              <w:rPr>
                <w:rFonts w:ascii="Book Antiqua" w:hAnsi="Book Antiqua"/>
              </w:rPr>
              <w:t xml:space="preserve">ar për Udhëzimin Administrativ </w:t>
            </w:r>
            <w:r w:rsidR="00D85E80" w:rsidRPr="00F17B4A">
              <w:rPr>
                <w:rFonts w:ascii="Book Antiqua" w:hAnsi="Book Antiqua"/>
              </w:rPr>
              <w:t xml:space="preserve">:                  </w:t>
            </w:r>
            <w:r w:rsidR="00956B44">
              <w:rPr>
                <w:rFonts w:ascii="Book Antiqua" w:hAnsi="Book Antiqua"/>
              </w:rPr>
              <w:t>M</w:t>
            </w:r>
            <w:r w:rsidR="00956B44" w:rsidRPr="00F17B4A">
              <w:rPr>
                <w:rFonts w:ascii="Book Antiqua" w:hAnsi="Book Antiqua"/>
              </w:rPr>
              <w:t xml:space="preserve">bi mënyrën e aplikimit të dezinfektimit, dezinsektimit dhe deratizimit të obliguar </w:t>
            </w:r>
          </w:p>
        </w:tc>
        <w:tc>
          <w:tcPr>
            <w:tcW w:w="492"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2 vite </w:t>
            </w: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56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Buxheti i Kosovës</w:t>
            </w:r>
          </w:p>
        </w:tc>
        <w:tc>
          <w:tcPr>
            <w:tcW w:w="614"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Ministria e Shëndetësisë</w:t>
            </w:r>
          </w:p>
        </w:tc>
        <w:tc>
          <w:tcPr>
            <w:tcW w:w="480"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IKSHP, Inspektorati Sanitar  dhe MAPH </w:t>
            </w:r>
          </w:p>
        </w:tc>
        <w:tc>
          <w:tcPr>
            <w:tcW w:w="547"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Akti nënligjor për zbatim</w:t>
            </w:r>
          </w:p>
        </w:tc>
      </w:tr>
      <w:tr w:rsidR="00D85E80"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D85E80" w:rsidRPr="00F17B4A" w:rsidRDefault="001F39A6" w:rsidP="00BB4474">
            <w:pPr>
              <w:rPr>
                <w:rFonts w:ascii="Book Antiqua" w:hAnsi="Book Antiqua"/>
              </w:rPr>
            </w:pPr>
            <w:r>
              <w:rPr>
                <w:rFonts w:ascii="Book Antiqua" w:hAnsi="Book Antiqua"/>
              </w:rPr>
              <w:t>Hartimi i legjislacionit seko</w:t>
            </w:r>
            <w:r w:rsidR="00D85E80" w:rsidRPr="00F17B4A">
              <w:rPr>
                <w:rFonts w:ascii="Book Antiqua" w:hAnsi="Book Antiqua"/>
              </w:rPr>
              <w:t>nd</w:t>
            </w:r>
            <w:r>
              <w:rPr>
                <w:rFonts w:ascii="Book Antiqua" w:hAnsi="Book Antiqua"/>
              </w:rPr>
              <w:t>ar për Udhëzimin Administrativ</w:t>
            </w:r>
            <w:r w:rsidR="00D85E80" w:rsidRPr="00F17B4A">
              <w:rPr>
                <w:rFonts w:ascii="Book Antiqua" w:hAnsi="Book Antiqua"/>
              </w:rPr>
              <w:t xml:space="preserve">:                    </w:t>
            </w:r>
            <w:r w:rsidR="00B33779" w:rsidRPr="00F17B4A">
              <w:rPr>
                <w:rFonts w:ascii="Book Antiqua" w:hAnsi="Book Antiqua"/>
              </w:rPr>
              <w:t>për kushtet të cilat duhet të përmbushin personat jurid</w:t>
            </w:r>
            <w:r>
              <w:rPr>
                <w:rFonts w:ascii="Book Antiqua" w:hAnsi="Book Antiqua"/>
              </w:rPr>
              <w:t>ik</w:t>
            </w:r>
            <w:r w:rsidR="00B33779" w:rsidRPr="00F17B4A">
              <w:rPr>
                <w:rFonts w:ascii="Book Antiqua" w:hAnsi="Book Antiqua"/>
              </w:rPr>
              <w:t xml:space="preserve"> dhe fizik të cilët kryejn ë vepritarit të obligueshme të dezinfektimi, dezinsektimit dhe deratizimit si masë parandaluese dhe çrenjosjens së semundjeve infektive",        </w:t>
            </w:r>
          </w:p>
        </w:tc>
        <w:tc>
          <w:tcPr>
            <w:tcW w:w="492"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2 vite </w:t>
            </w: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56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Buxheti i Kosovës</w:t>
            </w:r>
          </w:p>
        </w:tc>
        <w:tc>
          <w:tcPr>
            <w:tcW w:w="614"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Ministria e Shëndetësisë</w:t>
            </w:r>
          </w:p>
        </w:tc>
        <w:tc>
          <w:tcPr>
            <w:tcW w:w="480"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 Inspektorati Sanitar  dhe MAPH, MTI</w:t>
            </w:r>
          </w:p>
        </w:tc>
        <w:tc>
          <w:tcPr>
            <w:tcW w:w="547"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1F39A6">
            <w:pPr>
              <w:rPr>
                <w:rFonts w:ascii="Book Antiqua" w:hAnsi="Book Antiqua"/>
              </w:rPr>
            </w:pPr>
            <w:r w:rsidRPr="00F17B4A">
              <w:rPr>
                <w:rFonts w:ascii="Book Antiqua" w:hAnsi="Book Antiqua"/>
              </w:rPr>
              <w:t xml:space="preserve">Akti nënligjor </w:t>
            </w:r>
            <w:r w:rsidR="001F39A6">
              <w:rPr>
                <w:rFonts w:ascii="Book Antiqua" w:hAnsi="Book Antiqua"/>
              </w:rPr>
              <w:t>i aprovuar</w:t>
            </w:r>
          </w:p>
        </w:tc>
      </w:tr>
      <w:tr w:rsidR="00D85E80"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Trajnimi i Inspektorëve sanitar për zhvillimin e procedurave standarde operative për zbatimin e Udhëzimeve  </w:t>
            </w:r>
          </w:p>
        </w:tc>
        <w:tc>
          <w:tcPr>
            <w:tcW w:w="492"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5000</w:t>
            </w: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5000</w:t>
            </w: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5000</w:t>
            </w:r>
          </w:p>
        </w:tc>
        <w:tc>
          <w:tcPr>
            <w:tcW w:w="56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Buxheti i Kosovës</w:t>
            </w:r>
          </w:p>
        </w:tc>
        <w:tc>
          <w:tcPr>
            <w:tcW w:w="614"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AUV-Inspektorati Sanitar </w:t>
            </w:r>
          </w:p>
          <w:p w:rsidR="00D85E80" w:rsidRPr="00F17B4A" w:rsidRDefault="00D85E80" w:rsidP="00BB4474">
            <w:pPr>
              <w:rPr>
                <w:rFonts w:ascii="Book Antiqua" w:hAnsi="Book Antiqua"/>
              </w:rPr>
            </w:pPr>
          </w:p>
        </w:tc>
        <w:tc>
          <w:tcPr>
            <w:tcW w:w="480"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 Inspektorati Sanitar, SHSKUK, dhe  MPB</w:t>
            </w:r>
          </w:p>
        </w:tc>
        <w:tc>
          <w:tcPr>
            <w:tcW w:w="547"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Ngritja profesionale për zbatimin e procedurave standard operative</w:t>
            </w:r>
          </w:p>
        </w:tc>
      </w:tr>
      <w:tr w:rsidR="001F39A6"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1F39A6" w:rsidRPr="00F17B4A" w:rsidRDefault="001F39A6" w:rsidP="001F39A6">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Pr>
                <w:rFonts w:ascii="Book Antiqua" w:hAnsi="Book Antiqua"/>
              </w:rPr>
              <w:t>Hartimi i legjislacionit seko</w:t>
            </w:r>
            <w:r w:rsidRPr="00F17B4A">
              <w:rPr>
                <w:rFonts w:ascii="Book Antiqua" w:hAnsi="Book Antiqua"/>
              </w:rPr>
              <w:t xml:space="preserve">ndar Udhëzimi Adminitrativ për operatorët e biznesit për ekshumim (zhvarrimin) dhe transportin e të vdekurëve </w:t>
            </w:r>
          </w:p>
        </w:tc>
        <w:tc>
          <w:tcPr>
            <w:tcW w:w="492"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 xml:space="preserve">2 vite </w:t>
            </w:r>
          </w:p>
        </w:tc>
        <w:tc>
          <w:tcPr>
            <w:tcW w:w="281"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p>
        </w:tc>
        <w:tc>
          <w:tcPr>
            <w:tcW w:w="560"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Buxheti i Kosovës</w:t>
            </w:r>
          </w:p>
        </w:tc>
        <w:tc>
          <w:tcPr>
            <w:tcW w:w="614" w:type="pct"/>
            <w:gridSpan w:val="2"/>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Ministria e Shëndetësisë</w:t>
            </w:r>
          </w:p>
          <w:p w:rsidR="001F39A6" w:rsidRPr="00F17B4A" w:rsidRDefault="001F39A6" w:rsidP="001F39A6">
            <w:pPr>
              <w:rPr>
                <w:rFonts w:ascii="Book Antiqua" w:hAnsi="Book Antiqua"/>
              </w:rPr>
            </w:pPr>
            <w:r w:rsidRPr="00F17B4A">
              <w:rPr>
                <w:rFonts w:ascii="Book Antiqua" w:hAnsi="Book Antiqua"/>
              </w:rPr>
              <w:t xml:space="preserve">AUV-Inspektorati Sanitar </w:t>
            </w:r>
          </w:p>
          <w:p w:rsidR="001F39A6" w:rsidRPr="00F17B4A" w:rsidRDefault="001F39A6" w:rsidP="001F39A6">
            <w:pPr>
              <w:rPr>
                <w:rFonts w:ascii="Book Antiqua" w:hAnsi="Book Antiqua"/>
              </w:rPr>
            </w:pPr>
          </w:p>
        </w:tc>
        <w:tc>
          <w:tcPr>
            <w:tcW w:w="480" w:type="pct"/>
            <w:gridSpan w:val="2"/>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 xml:space="preserve">IKSHP, Inspektorati Sanitar, SHSKUK, MAPH, MPB dhe MTI </w:t>
            </w:r>
          </w:p>
        </w:tc>
        <w:tc>
          <w:tcPr>
            <w:tcW w:w="547" w:type="pct"/>
            <w:gridSpan w:val="2"/>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 xml:space="preserve">Akti nënligjor </w:t>
            </w:r>
            <w:r>
              <w:rPr>
                <w:rFonts w:ascii="Book Antiqua" w:hAnsi="Book Antiqua"/>
              </w:rPr>
              <w:t>i aprovuar</w:t>
            </w:r>
          </w:p>
        </w:tc>
      </w:tr>
      <w:tr w:rsidR="001F39A6"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1F39A6" w:rsidRPr="00F17B4A" w:rsidRDefault="001F39A6" w:rsidP="001F39A6">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Udhëzuesi për menaxhmin e helmimeve me ushqim</w:t>
            </w:r>
          </w:p>
        </w:tc>
        <w:tc>
          <w:tcPr>
            <w:tcW w:w="492"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 xml:space="preserve">2 vite </w:t>
            </w:r>
          </w:p>
        </w:tc>
        <w:tc>
          <w:tcPr>
            <w:tcW w:w="281"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p>
        </w:tc>
        <w:tc>
          <w:tcPr>
            <w:tcW w:w="560" w:type="pct"/>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Buxheti i Kosovës</w:t>
            </w:r>
          </w:p>
        </w:tc>
        <w:tc>
          <w:tcPr>
            <w:tcW w:w="614" w:type="pct"/>
            <w:gridSpan w:val="2"/>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AUV-Inspektorati Sanitar , IKSHP,</w:t>
            </w:r>
          </w:p>
          <w:p w:rsidR="001F39A6" w:rsidRPr="00F17B4A" w:rsidRDefault="001F39A6" w:rsidP="001F39A6">
            <w:pPr>
              <w:rPr>
                <w:rFonts w:ascii="Book Antiqua" w:hAnsi="Book Antiqua"/>
              </w:rPr>
            </w:pPr>
            <w:r w:rsidRPr="00F17B4A">
              <w:rPr>
                <w:rFonts w:ascii="Book Antiqua" w:hAnsi="Book Antiqua"/>
              </w:rPr>
              <w:t xml:space="preserve">Ministria e Shëndetësisë, </w:t>
            </w:r>
          </w:p>
        </w:tc>
        <w:tc>
          <w:tcPr>
            <w:tcW w:w="480" w:type="pct"/>
            <w:gridSpan w:val="2"/>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IKSHP, SHSKUK, dhe  MPB</w:t>
            </w:r>
          </w:p>
          <w:p w:rsidR="001F39A6" w:rsidRPr="00F17B4A" w:rsidRDefault="001F39A6" w:rsidP="001F39A6">
            <w:pPr>
              <w:rPr>
                <w:rFonts w:ascii="Book Antiqua" w:hAnsi="Book Antiqua"/>
              </w:rPr>
            </w:pPr>
            <w:r w:rsidRPr="00F17B4A">
              <w:rPr>
                <w:rFonts w:ascii="Book Antiqua" w:hAnsi="Book Antiqua"/>
              </w:rPr>
              <w:t xml:space="preserve">Inspektorati Sanitar,  </w:t>
            </w:r>
          </w:p>
        </w:tc>
        <w:tc>
          <w:tcPr>
            <w:tcW w:w="547" w:type="pct"/>
            <w:gridSpan w:val="2"/>
            <w:tcBorders>
              <w:top w:val="single" w:sz="4" w:space="0" w:color="auto"/>
              <w:left w:val="single" w:sz="4" w:space="0" w:color="auto"/>
              <w:bottom w:val="single" w:sz="4" w:space="0" w:color="auto"/>
              <w:right w:val="single" w:sz="4" w:space="0" w:color="auto"/>
            </w:tcBorders>
          </w:tcPr>
          <w:p w:rsidR="001F39A6" w:rsidRPr="00F17B4A" w:rsidRDefault="001F39A6" w:rsidP="001F39A6">
            <w:pPr>
              <w:rPr>
                <w:rFonts w:ascii="Book Antiqua" w:hAnsi="Book Antiqua"/>
              </w:rPr>
            </w:pPr>
            <w:r w:rsidRPr="00F17B4A">
              <w:rPr>
                <w:rFonts w:ascii="Book Antiqua" w:hAnsi="Book Antiqua"/>
              </w:rPr>
              <w:t xml:space="preserve">Akti nënligjor </w:t>
            </w:r>
            <w:r>
              <w:rPr>
                <w:rFonts w:ascii="Book Antiqua" w:hAnsi="Book Antiqua"/>
              </w:rPr>
              <w:t>i aprovuar</w:t>
            </w:r>
          </w:p>
        </w:tc>
      </w:tr>
      <w:tr w:rsidR="00D85E80"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Trajnimi i Inspektorëve sanitar për zhvillimin e procedurave standard operative gjatë rasteve të helmimit me ushqim</w:t>
            </w:r>
          </w:p>
        </w:tc>
        <w:tc>
          <w:tcPr>
            <w:tcW w:w="492"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w:t>
            </w:r>
            <w:r w:rsidR="00B33779">
              <w:rPr>
                <w:rFonts w:ascii="Book Antiqua" w:hAnsi="Book Antiqua"/>
              </w:rPr>
              <w:t xml:space="preserve"> vite</w:t>
            </w: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10,000</w:t>
            </w: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10,000</w:t>
            </w: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10,000</w:t>
            </w:r>
          </w:p>
        </w:tc>
        <w:tc>
          <w:tcPr>
            <w:tcW w:w="56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Buxheti i Kosovës</w:t>
            </w:r>
          </w:p>
        </w:tc>
        <w:tc>
          <w:tcPr>
            <w:tcW w:w="614"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 xml:space="preserve">AUV-Inspektorati Sanitar </w:t>
            </w:r>
          </w:p>
          <w:p w:rsidR="00D85E80" w:rsidRPr="00F17B4A" w:rsidRDefault="00D85E80" w:rsidP="00BB4474">
            <w:pPr>
              <w:rPr>
                <w:rFonts w:ascii="Book Antiqua" w:hAnsi="Book Antiqua"/>
              </w:rPr>
            </w:pPr>
          </w:p>
        </w:tc>
        <w:tc>
          <w:tcPr>
            <w:tcW w:w="480"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IKSHP, Inspektorati Sanitar, SHSKUK, dhe  MPB</w:t>
            </w:r>
          </w:p>
        </w:tc>
        <w:tc>
          <w:tcPr>
            <w:tcW w:w="547"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Ngritja profesionale për zbatimin e procedurave standard operative</w:t>
            </w:r>
          </w:p>
        </w:tc>
      </w:tr>
      <w:tr w:rsidR="00D85E80"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85E80" w:rsidRPr="00F17B4A" w:rsidRDefault="00D85E80" w:rsidP="00BB4474">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Hartimi i Koncept Dokumentit per Ligjin e ri te Veterinarise i cili i paraprine hartimit te Ligjit te Shendetit te kafsheve, sipas EU Regulation 2016/429</w:t>
            </w:r>
          </w:p>
        </w:tc>
        <w:tc>
          <w:tcPr>
            <w:tcW w:w="492"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2  vite</w:t>
            </w: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p>
        </w:tc>
        <w:tc>
          <w:tcPr>
            <w:tcW w:w="560" w:type="pct"/>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Buxheti I Kosoves</w:t>
            </w:r>
          </w:p>
        </w:tc>
        <w:tc>
          <w:tcPr>
            <w:tcW w:w="614"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Ministria e MBPZHR</w:t>
            </w:r>
          </w:p>
          <w:p w:rsidR="00D85E80" w:rsidRPr="00F17B4A" w:rsidRDefault="00D85E80" w:rsidP="00BB4474">
            <w:pPr>
              <w:rPr>
                <w:rFonts w:ascii="Book Antiqua" w:hAnsi="Book Antiqua"/>
              </w:rPr>
            </w:pPr>
            <w:r w:rsidRPr="00F17B4A">
              <w:rPr>
                <w:rFonts w:ascii="Book Antiqua" w:hAnsi="Book Antiqua"/>
              </w:rPr>
              <w:t>ZKM</w:t>
            </w:r>
          </w:p>
        </w:tc>
        <w:tc>
          <w:tcPr>
            <w:tcW w:w="480"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AUV, IKSHP</w:t>
            </w:r>
          </w:p>
        </w:tc>
        <w:tc>
          <w:tcPr>
            <w:tcW w:w="547" w:type="pct"/>
            <w:gridSpan w:val="2"/>
            <w:tcBorders>
              <w:top w:val="single" w:sz="4" w:space="0" w:color="auto"/>
              <w:left w:val="single" w:sz="4" w:space="0" w:color="auto"/>
              <w:bottom w:val="single" w:sz="4" w:space="0" w:color="auto"/>
              <w:right w:val="single" w:sz="4" w:space="0" w:color="auto"/>
            </w:tcBorders>
          </w:tcPr>
          <w:p w:rsidR="00D85E80" w:rsidRPr="00F17B4A" w:rsidRDefault="00D85E80" w:rsidP="00BB4474">
            <w:pPr>
              <w:rPr>
                <w:rFonts w:ascii="Book Antiqua" w:hAnsi="Book Antiqua"/>
              </w:rPr>
            </w:pPr>
            <w:r w:rsidRPr="00F17B4A">
              <w:rPr>
                <w:rFonts w:ascii="Book Antiqua" w:hAnsi="Book Antiqua"/>
              </w:rPr>
              <w:t>Ligj</w:t>
            </w:r>
            <w:r w:rsidR="00883476">
              <w:rPr>
                <w:rFonts w:ascii="Book Antiqua" w:hAnsi="Book Antiqua"/>
              </w:rPr>
              <w:t xml:space="preserve"> i aprovuar</w:t>
            </w:r>
          </w:p>
        </w:tc>
      </w:tr>
      <w:tr w:rsidR="00883476"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83476" w:rsidRPr="00F17B4A" w:rsidRDefault="00883476" w:rsidP="00883476">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sidRPr="00F17B4A">
              <w:rPr>
                <w:rFonts w:ascii="Book Antiqua" w:hAnsi="Book Antiqua"/>
              </w:rPr>
              <w:t>Ligji për Veterinarinë 21/2004;</w:t>
            </w:r>
          </w:p>
          <w:p w:rsidR="00883476" w:rsidRPr="00F17B4A" w:rsidRDefault="00883476" w:rsidP="00883476">
            <w:pPr>
              <w:rPr>
                <w:rFonts w:ascii="Book Antiqua" w:hAnsi="Book Antiqua"/>
              </w:rPr>
            </w:pPr>
            <w:r w:rsidRPr="00F17B4A">
              <w:rPr>
                <w:rFonts w:ascii="Book Antiqua" w:hAnsi="Book Antiqua"/>
              </w:rPr>
              <w:t xml:space="preserve">U.A. Nr.011/2019 “Pёr Caktimin e kushteve për licencimin e subjekteve afariste që kryejnë veprimtari të importit dhe distribuimit  të produkteve dhe pajisjeve mjekësorë veterinare PMV </w:t>
            </w:r>
          </w:p>
          <w:p w:rsidR="00883476" w:rsidRPr="00F17B4A" w:rsidRDefault="00883476" w:rsidP="00883476">
            <w:pPr>
              <w:rPr>
                <w:rFonts w:ascii="Book Antiqua" w:hAnsi="Book Antiqua"/>
              </w:rPr>
            </w:pPr>
            <w:r w:rsidRPr="00F17B4A">
              <w:rPr>
                <w:rFonts w:ascii="Book Antiqua" w:hAnsi="Book Antiqua"/>
              </w:rPr>
              <w:t>U.A. 12/2019 Pёr Autorizim tё Marketingut dhe Farmakovigjilencёn Veterinare  i PMV të plasuara në Kosovë” Kontrolli zyrtar i aktiviteteve të  shpenzimit AB;</w:t>
            </w:r>
          </w:p>
          <w:p w:rsidR="00883476" w:rsidRPr="00F17B4A" w:rsidRDefault="00883476" w:rsidP="00883476">
            <w:pPr>
              <w:rPr>
                <w:rFonts w:ascii="Book Antiqua" w:hAnsi="Book Antiqua"/>
              </w:rPr>
            </w:pPr>
          </w:p>
        </w:tc>
        <w:tc>
          <w:tcPr>
            <w:tcW w:w="492"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tc>
        <w:tc>
          <w:tcPr>
            <w:tcW w:w="560"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Buxheti I Kosoves</w:t>
            </w:r>
          </w:p>
        </w:tc>
        <w:tc>
          <w:tcPr>
            <w:tcW w:w="614"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AUV</w:t>
            </w:r>
          </w:p>
        </w:tc>
        <w:tc>
          <w:tcPr>
            <w:tcW w:w="480"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MBPZHR, MSH</w:t>
            </w:r>
          </w:p>
        </w:tc>
        <w:tc>
          <w:tcPr>
            <w:tcW w:w="547"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sidRPr="00F17B4A">
              <w:rPr>
                <w:rFonts w:ascii="Book Antiqua" w:hAnsi="Book Antiqua"/>
              </w:rPr>
              <w:t xml:space="preserve">Akti nënligjor </w:t>
            </w:r>
            <w:r>
              <w:rPr>
                <w:rFonts w:ascii="Book Antiqua" w:hAnsi="Book Antiqua"/>
              </w:rPr>
              <w:t>i aprovuar</w:t>
            </w:r>
          </w:p>
        </w:tc>
      </w:tr>
      <w:tr w:rsidR="00883476"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83476" w:rsidRPr="00F17B4A" w:rsidRDefault="00D12C56" w:rsidP="00D12C56">
            <w:pPr>
              <w:rPr>
                <w:rFonts w:ascii="Book Antiqua" w:hAnsi="Book Antiqua"/>
              </w:rPr>
            </w:pPr>
            <w:r w:rsidRPr="00D12C56">
              <w:rPr>
                <w:rFonts w:ascii="Book Antiqua" w:hAnsi="Book Antiqua"/>
              </w:rPr>
              <w:t xml:space="preserve">2. Zhvillimi i partneriteteve strategjike me sektorin privat për t'i angazhuar ata në </w:t>
            </w:r>
            <w:r>
              <w:rPr>
                <w:rFonts w:ascii="Book Antiqua" w:hAnsi="Book Antiqua"/>
              </w:rPr>
              <w:t>parandalimin dhe kontrollin e semundjeve</w:t>
            </w:r>
          </w:p>
        </w:tc>
        <w:tc>
          <w:tcPr>
            <w:tcW w:w="804"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sidRPr="00F17B4A">
              <w:rPr>
                <w:rFonts w:ascii="Book Antiqua" w:hAnsi="Book Antiqua"/>
              </w:rPr>
              <w:t>Nxitja e subjekteve përgjegjëse (distributor i PMV, fermer,  veterinar) në mbajtjen e shenimeve relevante të VET-Kontrollit lidhur me përdorimin e antibiotikeve;</w:t>
            </w:r>
          </w:p>
        </w:tc>
        <w:tc>
          <w:tcPr>
            <w:tcW w:w="492"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V3</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0</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0</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tc>
        <w:tc>
          <w:tcPr>
            <w:tcW w:w="560"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Pr>
                <w:rFonts w:ascii="Book Antiqua" w:hAnsi="Book Antiqua"/>
              </w:rPr>
              <w:t xml:space="preserve">Buxheti i </w:t>
            </w:r>
            <w:r w:rsidRPr="00F17B4A">
              <w:rPr>
                <w:rFonts w:ascii="Book Antiqua" w:hAnsi="Book Antiqua"/>
              </w:rPr>
              <w:t>Kosoves</w:t>
            </w:r>
          </w:p>
        </w:tc>
        <w:tc>
          <w:tcPr>
            <w:tcW w:w="614"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AUV</w:t>
            </w:r>
          </w:p>
        </w:tc>
        <w:tc>
          <w:tcPr>
            <w:tcW w:w="480"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MBPZHR, MSH</w:t>
            </w:r>
          </w:p>
        </w:tc>
        <w:tc>
          <w:tcPr>
            <w:tcW w:w="547"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sidRPr="00F17B4A">
              <w:rPr>
                <w:rFonts w:ascii="Book Antiqua" w:hAnsi="Book Antiqua"/>
              </w:rPr>
              <w:t>Inspektimi i praktikave veterinare dhe distributorёve tё autoriziuar.</w:t>
            </w:r>
          </w:p>
          <w:p w:rsidR="00883476" w:rsidRPr="00F17B4A" w:rsidRDefault="00883476" w:rsidP="00883476">
            <w:pPr>
              <w:rPr>
                <w:rFonts w:ascii="Book Antiqua" w:hAnsi="Book Antiqua"/>
              </w:rPr>
            </w:pPr>
            <w:r w:rsidRPr="00F17B4A">
              <w:rPr>
                <w:rFonts w:ascii="Book Antiqua" w:hAnsi="Book Antiqua"/>
              </w:rPr>
              <w:t>Masat ndёshkuese</w:t>
            </w:r>
          </w:p>
          <w:p w:rsidR="00883476" w:rsidRPr="00F17B4A" w:rsidRDefault="00883476" w:rsidP="00883476">
            <w:pPr>
              <w:rPr>
                <w:rFonts w:ascii="Book Antiqua" w:hAnsi="Book Antiqua"/>
              </w:rPr>
            </w:pPr>
          </w:p>
        </w:tc>
      </w:tr>
      <w:tr w:rsidR="00883476"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83476" w:rsidRPr="00F17B4A" w:rsidRDefault="00883476" w:rsidP="00883476">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sidRPr="00F17B4A">
              <w:rPr>
                <w:rFonts w:ascii="Book Antiqua" w:hAnsi="Book Antiqua"/>
              </w:rPr>
              <w:t>Rritja e kapaciteteve laboratorike për detektimin e mbetjeve potenciale nga PMV/AB;</w:t>
            </w:r>
          </w:p>
        </w:tc>
        <w:tc>
          <w:tcPr>
            <w:tcW w:w="492"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V3</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30000</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20000</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10000</w:t>
            </w:r>
          </w:p>
        </w:tc>
        <w:tc>
          <w:tcPr>
            <w:tcW w:w="560"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DONATORET</w:t>
            </w:r>
          </w:p>
        </w:tc>
        <w:tc>
          <w:tcPr>
            <w:tcW w:w="614"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AUV  LUV</w:t>
            </w:r>
          </w:p>
        </w:tc>
        <w:tc>
          <w:tcPr>
            <w:tcW w:w="480"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MBPZHR, MSH</w:t>
            </w:r>
          </w:p>
        </w:tc>
        <w:tc>
          <w:tcPr>
            <w:tcW w:w="547"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sidRPr="00F17B4A">
              <w:rPr>
                <w:rFonts w:ascii="Book Antiqua" w:hAnsi="Book Antiqua"/>
              </w:rPr>
              <w:t>Detektimi i ATB nё ushqim me metodat konfirmative.</w:t>
            </w:r>
          </w:p>
        </w:tc>
      </w:tr>
      <w:tr w:rsidR="00883476" w:rsidRPr="00F17B4A" w:rsidTr="00EA0B88">
        <w:trPr>
          <w:trHeight w:val="824"/>
          <w:jc w:val="center"/>
        </w:trPr>
        <w:tc>
          <w:tcPr>
            <w:tcW w:w="661"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83476" w:rsidRPr="00F17B4A" w:rsidRDefault="00883476" w:rsidP="00883476">
            <w:pPr>
              <w:rPr>
                <w:rFonts w:ascii="Book Antiqua" w:hAnsi="Book Antiqua"/>
              </w:rPr>
            </w:pPr>
          </w:p>
        </w:tc>
        <w:tc>
          <w:tcPr>
            <w:tcW w:w="804"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sidRPr="00F17B4A">
              <w:rPr>
                <w:rFonts w:ascii="Book Antiqua" w:hAnsi="Book Antiqua"/>
              </w:rPr>
              <w:t>Instalimi i njё programi softverik , për raportimin e hargjimit dhe  furnizimit  tё PMV me theks tё veçant antibiotikёt nё Veterinari</w:t>
            </w:r>
          </w:p>
        </w:tc>
        <w:tc>
          <w:tcPr>
            <w:tcW w:w="492"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Pr>
                <w:rFonts w:ascii="Book Antiqua" w:hAnsi="Book Antiqua"/>
              </w:rPr>
              <w:t>V</w:t>
            </w:r>
            <w:r w:rsidRPr="00F17B4A">
              <w:rPr>
                <w:rFonts w:ascii="Book Antiqua" w:hAnsi="Book Antiqua"/>
              </w:rPr>
              <w:t>3</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20000</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15000</w:t>
            </w:r>
          </w:p>
        </w:tc>
        <w:tc>
          <w:tcPr>
            <w:tcW w:w="281"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10000</w:t>
            </w:r>
          </w:p>
        </w:tc>
        <w:tc>
          <w:tcPr>
            <w:tcW w:w="560" w:type="pct"/>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DONATORET</w:t>
            </w:r>
          </w:p>
        </w:tc>
        <w:tc>
          <w:tcPr>
            <w:tcW w:w="614"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AUV</w:t>
            </w:r>
          </w:p>
        </w:tc>
        <w:tc>
          <w:tcPr>
            <w:tcW w:w="480"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p>
          <w:p w:rsidR="00883476" w:rsidRPr="00F17B4A" w:rsidRDefault="00883476" w:rsidP="00883476">
            <w:pPr>
              <w:rPr>
                <w:rFonts w:ascii="Book Antiqua" w:hAnsi="Book Antiqua"/>
              </w:rPr>
            </w:pPr>
            <w:r w:rsidRPr="00F17B4A">
              <w:rPr>
                <w:rFonts w:ascii="Book Antiqua" w:hAnsi="Book Antiqua"/>
              </w:rPr>
              <w:t>MBPRZH</w:t>
            </w:r>
          </w:p>
        </w:tc>
        <w:tc>
          <w:tcPr>
            <w:tcW w:w="547" w:type="pct"/>
            <w:gridSpan w:val="2"/>
            <w:tcBorders>
              <w:top w:val="single" w:sz="4" w:space="0" w:color="auto"/>
              <w:left w:val="single" w:sz="4" w:space="0" w:color="auto"/>
              <w:bottom w:val="single" w:sz="4" w:space="0" w:color="auto"/>
              <w:right w:val="single" w:sz="4" w:space="0" w:color="auto"/>
            </w:tcBorders>
          </w:tcPr>
          <w:p w:rsidR="00883476" w:rsidRPr="00F17B4A" w:rsidRDefault="00883476" w:rsidP="00883476">
            <w:pPr>
              <w:rPr>
                <w:rFonts w:ascii="Book Antiqua" w:hAnsi="Book Antiqua"/>
              </w:rPr>
            </w:pPr>
            <w:r w:rsidRPr="00F17B4A">
              <w:rPr>
                <w:rFonts w:ascii="Book Antiqua" w:hAnsi="Book Antiqua"/>
              </w:rPr>
              <w:t>Informimi mbi shpenzimin aplikimin dhe distribuimin e PMV</w:t>
            </w:r>
          </w:p>
        </w:tc>
      </w:tr>
    </w:tbl>
    <w:p w:rsidR="00D85E80" w:rsidRPr="00F17B4A" w:rsidRDefault="00D85E80" w:rsidP="00BB4474">
      <w:pPr>
        <w:rPr>
          <w:rFonts w:ascii="Book Antiqua" w:hAnsi="Book Antiqua"/>
        </w:rPr>
      </w:pPr>
    </w:p>
    <w:sectPr w:rsidR="00D85E80" w:rsidRPr="00F17B4A" w:rsidSect="004F1A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82"/>
    <w:rsid w:val="000003A3"/>
    <w:rsid w:val="00041227"/>
    <w:rsid w:val="00114982"/>
    <w:rsid w:val="00174487"/>
    <w:rsid w:val="00196B67"/>
    <w:rsid w:val="001A0E0F"/>
    <w:rsid w:val="001F39A6"/>
    <w:rsid w:val="002017C8"/>
    <w:rsid w:val="00266275"/>
    <w:rsid w:val="00280098"/>
    <w:rsid w:val="002E0946"/>
    <w:rsid w:val="002E3CC7"/>
    <w:rsid w:val="003351D6"/>
    <w:rsid w:val="003C6951"/>
    <w:rsid w:val="00412F80"/>
    <w:rsid w:val="0045363B"/>
    <w:rsid w:val="00497E17"/>
    <w:rsid w:val="004B4DF1"/>
    <w:rsid w:val="004C0758"/>
    <w:rsid w:val="004C26B0"/>
    <w:rsid w:val="004F1A82"/>
    <w:rsid w:val="005D279B"/>
    <w:rsid w:val="00622839"/>
    <w:rsid w:val="00654885"/>
    <w:rsid w:val="00675B39"/>
    <w:rsid w:val="00746FC7"/>
    <w:rsid w:val="00781001"/>
    <w:rsid w:val="007D41C7"/>
    <w:rsid w:val="007F0214"/>
    <w:rsid w:val="00830C90"/>
    <w:rsid w:val="008468C3"/>
    <w:rsid w:val="008551EB"/>
    <w:rsid w:val="00883476"/>
    <w:rsid w:val="008A34A3"/>
    <w:rsid w:val="008D6852"/>
    <w:rsid w:val="008E7F99"/>
    <w:rsid w:val="009411DE"/>
    <w:rsid w:val="00956B44"/>
    <w:rsid w:val="00A12247"/>
    <w:rsid w:val="00A576B1"/>
    <w:rsid w:val="00A77C16"/>
    <w:rsid w:val="00AB112C"/>
    <w:rsid w:val="00B03549"/>
    <w:rsid w:val="00B0763B"/>
    <w:rsid w:val="00B33779"/>
    <w:rsid w:val="00B40F75"/>
    <w:rsid w:val="00BB4474"/>
    <w:rsid w:val="00BC3D89"/>
    <w:rsid w:val="00C46FF1"/>
    <w:rsid w:val="00C867C1"/>
    <w:rsid w:val="00D12C56"/>
    <w:rsid w:val="00D64229"/>
    <w:rsid w:val="00D8455B"/>
    <w:rsid w:val="00D85E80"/>
    <w:rsid w:val="00D91AE9"/>
    <w:rsid w:val="00DD485B"/>
    <w:rsid w:val="00E220FB"/>
    <w:rsid w:val="00E63722"/>
    <w:rsid w:val="00E75847"/>
    <w:rsid w:val="00E952D9"/>
    <w:rsid w:val="00EA0B88"/>
    <w:rsid w:val="00EA795C"/>
    <w:rsid w:val="00EA7B84"/>
    <w:rsid w:val="00ED25CD"/>
    <w:rsid w:val="00F15DF7"/>
    <w:rsid w:val="00F17B4A"/>
    <w:rsid w:val="00F81599"/>
    <w:rsid w:val="00F90EB2"/>
    <w:rsid w:val="00FE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C29F1-E563-4F0B-905E-39816D99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A82"/>
    <w:pPr>
      <w:tabs>
        <w:tab w:val="center" w:pos="4680"/>
        <w:tab w:val="right" w:pos="9360"/>
      </w:tabs>
      <w:spacing w:after="0" w:line="240" w:lineRule="auto"/>
    </w:pPr>
    <w:rPr>
      <w:rFonts w:eastAsia="MS Mincho"/>
      <w:lang w:val="sq-AL"/>
    </w:rPr>
  </w:style>
  <w:style w:type="character" w:customStyle="1" w:styleId="HeaderChar">
    <w:name w:val="Header Char"/>
    <w:basedOn w:val="DefaultParagraphFont"/>
    <w:link w:val="Header"/>
    <w:uiPriority w:val="99"/>
    <w:rsid w:val="004F1A82"/>
    <w:rPr>
      <w:rFonts w:eastAsia="MS Mincho"/>
      <w:lang w:val="sq-AL"/>
    </w:rPr>
  </w:style>
  <w:style w:type="character" w:customStyle="1" w:styleId="ListParagraphChar">
    <w:name w:val="List Paragraph Char"/>
    <w:aliases w:val="ECDC AF Paragraph Char,NumberedParas Char,Numbered Para 1 Char,Dot pt Char,No Spacing1 Char,List Paragraph Char Char Char Char,Indicator Text Char,List Paragraph1 Char,Bullet 1 Char,Bullet Points Char,F5 List Paragraph Char"/>
    <w:link w:val="ListParagraph"/>
    <w:uiPriority w:val="34"/>
    <w:locked/>
    <w:rsid w:val="004F1A82"/>
    <w:rPr>
      <w:rFonts w:ascii="Calibri" w:eastAsia="MS Mincho" w:hAnsi="Calibri" w:cs="Times New Roman"/>
      <w:sz w:val="20"/>
      <w:szCs w:val="20"/>
      <w:lang w:val="sq-AL" w:eastAsia="ko-KR"/>
    </w:rPr>
  </w:style>
  <w:style w:type="paragraph" w:styleId="ListParagraph">
    <w:name w:val="List Paragraph"/>
    <w:aliases w:val="ECDC AF Paragraph,NumberedParas,Numbered Para 1,Dot pt,No Spacing1,List Paragraph Char Char Char,Indicator Text,List Paragraph1,Bullet 1,Bullet Points,F5 List Paragraph,Colorful List - Accent 11,List Paragraph2,Normal numbered,Normal 1"/>
    <w:basedOn w:val="Normal"/>
    <w:link w:val="ListParagraphChar"/>
    <w:uiPriority w:val="34"/>
    <w:qFormat/>
    <w:rsid w:val="004F1A82"/>
    <w:pPr>
      <w:ind w:left="720"/>
    </w:pPr>
    <w:rPr>
      <w:rFonts w:ascii="Calibri" w:eastAsia="MS Mincho" w:hAnsi="Calibri" w:cs="Times New Roman"/>
      <w:sz w:val="20"/>
      <w:szCs w:val="20"/>
      <w:lang w:val="sq-AL" w:eastAsia="ko-KR"/>
    </w:rPr>
  </w:style>
  <w:style w:type="paragraph" w:customStyle="1" w:styleId="Default">
    <w:name w:val="Default"/>
    <w:rsid w:val="004F1A82"/>
    <w:pPr>
      <w:autoSpaceDE w:val="0"/>
      <w:autoSpaceDN w:val="0"/>
      <w:adjustRightInd w:val="0"/>
      <w:spacing w:after="0" w:line="240" w:lineRule="auto"/>
    </w:pPr>
    <w:rPr>
      <w:rFonts w:ascii="Tahoma" w:hAnsi="Tahoma" w:cs="Tahoma"/>
      <w:color w:val="000000"/>
      <w:sz w:val="24"/>
      <w:szCs w:val="24"/>
    </w:rPr>
  </w:style>
  <w:style w:type="character" w:customStyle="1" w:styleId="y2iqfc">
    <w:name w:val="y2iqfc"/>
    <w:basedOn w:val="DefaultParagraphFont"/>
    <w:rsid w:val="004F1A82"/>
  </w:style>
  <w:style w:type="table" w:styleId="TableGrid">
    <w:name w:val="Table Grid"/>
    <w:basedOn w:val="TableNormal"/>
    <w:uiPriority w:val="39"/>
    <w:rsid w:val="004F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8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5E80"/>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E75847"/>
    <w:rPr>
      <w:sz w:val="16"/>
      <w:szCs w:val="16"/>
    </w:rPr>
  </w:style>
  <w:style w:type="paragraph" w:styleId="CommentText">
    <w:name w:val="annotation text"/>
    <w:basedOn w:val="Normal"/>
    <w:link w:val="CommentTextChar"/>
    <w:uiPriority w:val="99"/>
    <w:semiHidden/>
    <w:unhideWhenUsed/>
    <w:rsid w:val="00E75847"/>
    <w:pPr>
      <w:spacing w:line="240" w:lineRule="auto"/>
    </w:pPr>
    <w:rPr>
      <w:sz w:val="20"/>
      <w:szCs w:val="20"/>
    </w:rPr>
  </w:style>
  <w:style w:type="character" w:customStyle="1" w:styleId="CommentTextChar">
    <w:name w:val="Comment Text Char"/>
    <w:basedOn w:val="DefaultParagraphFont"/>
    <w:link w:val="CommentText"/>
    <w:uiPriority w:val="99"/>
    <w:semiHidden/>
    <w:rsid w:val="00E75847"/>
    <w:rPr>
      <w:sz w:val="20"/>
      <w:szCs w:val="20"/>
    </w:rPr>
  </w:style>
  <w:style w:type="paragraph" w:styleId="CommentSubject">
    <w:name w:val="annotation subject"/>
    <w:basedOn w:val="CommentText"/>
    <w:next w:val="CommentText"/>
    <w:link w:val="CommentSubjectChar"/>
    <w:uiPriority w:val="99"/>
    <w:semiHidden/>
    <w:unhideWhenUsed/>
    <w:rsid w:val="00E75847"/>
    <w:rPr>
      <w:b/>
      <w:bCs/>
    </w:rPr>
  </w:style>
  <w:style w:type="character" w:customStyle="1" w:styleId="CommentSubjectChar">
    <w:name w:val="Comment Subject Char"/>
    <w:basedOn w:val="CommentTextChar"/>
    <w:link w:val="CommentSubject"/>
    <w:uiPriority w:val="99"/>
    <w:semiHidden/>
    <w:rsid w:val="00E75847"/>
    <w:rPr>
      <w:b/>
      <w:bCs/>
      <w:sz w:val="20"/>
      <w:szCs w:val="20"/>
    </w:rPr>
  </w:style>
  <w:style w:type="paragraph" w:styleId="BalloonText">
    <w:name w:val="Balloon Text"/>
    <w:basedOn w:val="Normal"/>
    <w:link w:val="BalloonTextChar"/>
    <w:uiPriority w:val="99"/>
    <w:semiHidden/>
    <w:unhideWhenUsed/>
    <w:rsid w:val="00E75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9F3B-3BA5-46D0-8F28-8D3918CB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10724</Words>
  <Characters>61130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dc:creator>
  <cp:lastModifiedBy>Faik Hoti</cp:lastModifiedBy>
  <cp:revision>2</cp:revision>
  <cp:lastPrinted>2022-11-21T10:16:00Z</cp:lastPrinted>
  <dcterms:created xsi:type="dcterms:W3CDTF">2023-01-10T13:22:00Z</dcterms:created>
  <dcterms:modified xsi:type="dcterms:W3CDTF">2023-01-10T13:22:00Z</dcterms:modified>
</cp:coreProperties>
</file>