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hAnsi="Times New Roman" w:cs="Times New Roman"/>
          <w:sz w:val="24"/>
          <w:szCs w:val="24"/>
        </w:rPr>
        <w:id w:val="-1724750495"/>
        <w:docPartObj>
          <w:docPartGallery w:val="Cover Pages"/>
          <w:docPartUnique/>
        </w:docPartObj>
      </w:sdtPr>
      <w:sdtEndPr/>
      <w:sdtContent>
        <w:p w:rsidR="003E4A1F" w:rsidRPr="00007381" w:rsidRDefault="003E4A1F" w:rsidP="003E4A1F">
          <w:pPr>
            <w:tabs>
              <w:tab w:val="left" w:pos="36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007381" w:rsidRDefault="00007381" w:rsidP="003E4A1F">
          <w:pPr>
            <w:tabs>
              <w:tab w:val="left" w:pos="360"/>
            </w:tabs>
            <w:ind w:left="-270"/>
            <w:jc w:val="both"/>
            <w:rPr>
              <w:rFonts w:ascii="Times New Roman" w:eastAsia="Times New Roman" w:hAnsi="Times New Roman" w:cs="Times New Roman"/>
              <w:color w:val="44546A"/>
              <w:sz w:val="24"/>
              <w:szCs w:val="24"/>
              <w:lang w:eastAsia="en-US"/>
            </w:rPr>
          </w:pPr>
        </w:p>
        <w:p w:rsidR="00007381" w:rsidRDefault="00007381" w:rsidP="003E4A1F">
          <w:pPr>
            <w:tabs>
              <w:tab w:val="left" w:pos="360"/>
            </w:tabs>
            <w:ind w:left="-270"/>
            <w:jc w:val="both"/>
            <w:rPr>
              <w:rFonts w:ascii="Times New Roman" w:eastAsia="Times New Roman" w:hAnsi="Times New Roman" w:cs="Times New Roman"/>
              <w:color w:val="44546A"/>
              <w:sz w:val="24"/>
              <w:szCs w:val="24"/>
              <w:lang w:eastAsia="en-US"/>
            </w:rPr>
          </w:pPr>
        </w:p>
        <w:p w:rsidR="00007381" w:rsidRDefault="00007381" w:rsidP="003E4A1F">
          <w:pPr>
            <w:tabs>
              <w:tab w:val="left" w:pos="360"/>
            </w:tabs>
            <w:ind w:left="-270"/>
            <w:jc w:val="both"/>
            <w:rPr>
              <w:rFonts w:ascii="Times New Roman" w:eastAsia="Times New Roman" w:hAnsi="Times New Roman" w:cs="Times New Roman"/>
              <w:color w:val="44546A"/>
              <w:sz w:val="24"/>
              <w:szCs w:val="24"/>
              <w:lang w:eastAsia="en-US"/>
            </w:rPr>
          </w:pPr>
        </w:p>
        <w:p w:rsidR="003E4A1F" w:rsidRPr="00007381" w:rsidRDefault="003E4A1F" w:rsidP="003E4A1F">
          <w:pPr>
            <w:tabs>
              <w:tab w:val="left" w:pos="360"/>
            </w:tabs>
            <w:ind w:left="-270"/>
            <w:jc w:val="both"/>
            <w:rPr>
              <w:rFonts w:ascii="Times New Roman" w:eastAsia="Times New Roman" w:hAnsi="Times New Roman" w:cs="Times New Roman"/>
              <w:color w:val="44546A"/>
              <w:sz w:val="24"/>
              <w:szCs w:val="24"/>
              <w:lang w:eastAsia="en-US"/>
            </w:rPr>
          </w:pPr>
          <w:bookmarkStart w:id="0" w:name="_GoBack"/>
          <w:bookmarkEnd w:id="0"/>
          <w:r w:rsidRPr="00007381">
            <w:rPr>
              <w:rFonts w:ascii="Times New Roman" w:eastAsiaTheme="majorEastAsia" w:hAnsi="Times New Roman" w:cs="Times New Roman"/>
              <w:noProof/>
              <w:sz w:val="24"/>
              <w:szCs w:val="24"/>
              <w:lang w:eastAsia="sq-A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0" wp14:anchorId="374697C5" wp14:editId="2A3921AE">
                    <wp:simplePos x="0" y="0"/>
                    <wp:positionH relativeFrom="page">
                      <wp:posOffset>786765</wp:posOffset>
                    </wp:positionH>
                    <wp:positionV relativeFrom="page">
                      <wp:posOffset>801370</wp:posOffset>
                    </wp:positionV>
                    <wp:extent cx="6087110" cy="2280285"/>
                    <wp:effectExtent l="0" t="0" r="0" b="0"/>
                    <wp:wrapTopAndBottom/>
                    <wp:docPr id="1" name="Text Box 3" descr="Company contact information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087110" cy="22802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E4A1F" w:rsidRPr="00BB2F2A" w:rsidRDefault="003E4A1F" w:rsidP="003E4A1F">
                                <w:pPr>
                                  <w:jc w:val="center"/>
                                  <w:rPr>
                                    <w:lang w:val="de-DE"/>
                                  </w:rPr>
                                </w:pPr>
                                <w:r>
                                  <w:rPr>
                                    <w:noProof/>
                                    <w:lang w:val="en-US" w:eastAsia="en-US"/>
                                  </w:rPr>
                                  <w:drawing>
                                    <wp:inline distT="0" distB="0" distL="0" distR="0" wp14:anchorId="01D6FE2D" wp14:editId="2FE1BA26">
                                      <wp:extent cx="836430" cy="840402"/>
                                      <wp:effectExtent l="0" t="0" r="1905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logo31.png"/>
                                              <pic:cNvPicPr/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4793" cy="8488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3E4A1F" w:rsidRPr="001949B9" w:rsidRDefault="003E4A1F" w:rsidP="003E4A1F">
                                <w:pPr>
                                  <w:spacing w:before="0" w:after="0" w:line="240" w:lineRule="auto"/>
                                  <w:jc w:val="center"/>
                                  <w:rPr>
                                    <w:rFonts w:ascii="Book Antiqua" w:eastAsia="Batang" w:hAnsi="Book Antiqua" w:cs="Times New Roman"/>
                                    <w:b/>
                                    <w:bCs/>
                                    <w:sz w:val="22"/>
                                    <w:szCs w:val="22"/>
                                    <w:lang w:eastAsia="en-US"/>
                                  </w:rPr>
                                </w:pPr>
                                <w:r w:rsidRPr="001949B9">
                                  <w:rPr>
                                    <w:rFonts w:ascii="Book Antiqua" w:eastAsia="Times New Roman" w:hAnsi="Book Antiqua" w:cs="Book Antiqua"/>
                                    <w:b/>
                                    <w:bCs/>
                                    <w:sz w:val="22"/>
                                    <w:szCs w:val="22"/>
                                    <w:lang w:eastAsia="en-US"/>
                                  </w:rPr>
                                  <w:t>Republika e Kosovës</w:t>
                                </w:r>
                              </w:p>
                              <w:p w:rsidR="003E4A1F" w:rsidRPr="001949B9" w:rsidRDefault="003E4A1F" w:rsidP="003E4A1F">
                                <w:pPr>
                                  <w:spacing w:before="0" w:after="0" w:line="240" w:lineRule="auto"/>
                                  <w:jc w:val="center"/>
                                  <w:rPr>
                                    <w:rFonts w:ascii="Book Antiqua" w:eastAsia="Times New Roman" w:hAnsi="Book Antiqua" w:cs="Book Antiqua"/>
                                    <w:b/>
                                    <w:bCs/>
                                    <w:sz w:val="22"/>
                                    <w:szCs w:val="22"/>
                                    <w:lang w:eastAsia="en-US"/>
                                  </w:rPr>
                                </w:pPr>
                                <w:r w:rsidRPr="001949B9">
                                  <w:rPr>
                                    <w:rFonts w:ascii="Book Antiqua" w:eastAsia="Batang" w:hAnsi="Book Antiqua" w:cs="Book Antiqua"/>
                                    <w:b/>
                                    <w:bCs/>
                                    <w:sz w:val="22"/>
                                    <w:szCs w:val="22"/>
                                    <w:lang w:eastAsia="en-US"/>
                                  </w:rPr>
                                  <w:t>Republika Kosova-</w:t>
                                </w:r>
                                <w:proofErr w:type="spellStart"/>
                                <w:r w:rsidRPr="001949B9">
                                  <w:rPr>
                                    <w:rFonts w:ascii="Book Antiqua" w:eastAsia="Times New Roman" w:hAnsi="Book Antiqua" w:cs="Book Antiqua"/>
                                    <w:b/>
                                    <w:bCs/>
                                    <w:sz w:val="22"/>
                                    <w:szCs w:val="22"/>
                                    <w:lang w:eastAsia="en-US"/>
                                  </w:rPr>
                                  <w:t>Republic</w:t>
                                </w:r>
                                <w:proofErr w:type="spellEnd"/>
                                <w:r w:rsidRPr="001949B9">
                                  <w:rPr>
                                    <w:rFonts w:ascii="Book Antiqua" w:eastAsia="Times New Roman" w:hAnsi="Book Antiqua" w:cs="Book Antiqua"/>
                                    <w:b/>
                                    <w:bCs/>
                                    <w:sz w:val="22"/>
                                    <w:szCs w:val="22"/>
                                    <w:lang w:eastAsia="en-US"/>
                                  </w:rPr>
                                  <w:t xml:space="preserve"> </w:t>
                                </w:r>
                                <w:proofErr w:type="spellStart"/>
                                <w:r w:rsidRPr="001949B9">
                                  <w:rPr>
                                    <w:rFonts w:ascii="Book Antiqua" w:eastAsia="Times New Roman" w:hAnsi="Book Antiqua" w:cs="Book Antiqua"/>
                                    <w:b/>
                                    <w:bCs/>
                                    <w:sz w:val="22"/>
                                    <w:szCs w:val="22"/>
                                    <w:lang w:eastAsia="en-US"/>
                                  </w:rPr>
                                  <w:t>of</w:t>
                                </w:r>
                                <w:proofErr w:type="spellEnd"/>
                                <w:r w:rsidRPr="001949B9">
                                  <w:rPr>
                                    <w:rFonts w:ascii="Book Antiqua" w:eastAsia="Times New Roman" w:hAnsi="Book Antiqua" w:cs="Book Antiqua"/>
                                    <w:b/>
                                    <w:bCs/>
                                    <w:sz w:val="22"/>
                                    <w:szCs w:val="22"/>
                                    <w:lang w:eastAsia="en-US"/>
                                  </w:rPr>
                                  <w:t xml:space="preserve"> </w:t>
                                </w:r>
                                <w:proofErr w:type="spellStart"/>
                                <w:r w:rsidRPr="001949B9">
                                  <w:rPr>
                                    <w:rFonts w:ascii="Book Antiqua" w:eastAsia="Times New Roman" w:hAnsi="Book Antiqua" w:cs="Book Antiqua"/>
                                    <w:b/>
                                    <w:bCs/>
                                    <w:sz w:val="22"/>
                                    <w:szCs w:val="22"/>
                                    <w:lang w:eastAsia="en-US"/>
                                  </w:rPr>
                                  <w:t>Kosovo</w:t>
                                </w:r>
                                <w:proofErr w:type="spellEnd"/>
                              </w:p>
                              <w:p w:rsidR="003E4A1F" w:rsidRPr="001949B9" w:rsidRDefault="003E4A1F" w:rsidP="003E4A1F">
                                <w:pPr>
                                  <w:spacing w:before="0" w:after="0" w:line="240" w:lineRule="auto"/>
                                  <w:jc w:val="center"/>
                                  <w:rPr>
                                    <w:rFonts w:ascii="Book Antiqua" w:hAnsi="Book Antiqua" w:cs="Book Antiqua"/>
                                    <w:b/>
                                    <w:bCs/>
                                    <w:i/>
                                    <w:iCs/>
                                    <w:sz w:val="22"/>
                                    <w:szCs w:val="22"/>
                                    <w:lang w:eastAsia="en-US"/>
                                  </w:rPr>
                                </w:pPr>
                                <w:r w:rsidRPr="001949B9">
                                  <w:rPr>
                                    <w:rFonts w:ascii="Book Antiqua" w:hAnsi="Book Antiqua" w:cs="Book Antiqua"/>
                                    <w:b/>
                                    <w:bCs/>
                                    <w:i/>
                                    <w:iCs/>
                                    <w:sz w:val="22"/>
                                    <w:szCs w:val="22"/>
                                    <w:lang w:eastAsia="en-US"/>
                                  </w:rPr>
                                  <w:t>Qeveria –</w:t>
                                </w:r>
                                <w:proofErr w:type="spellStart"/>
                                <w:r w:rsidRPr="001949B9">
                                  <w:rPr>
                                    <w:rFonts w:ascii="Book Antiqua" w:hAnsi="Book Antiqua" w:cs="Book Antiqua"/>
                                    <w:b/>
                                    <w:bCs/>
                                    <w:i/>
                                    <w:iCs/>
                                    <w:sz w:val="22"/>
                                    <w:szCs w:val="22"/>
                                    <w:lang w:eastAsia="en-US"/>
                                  </w:rPr>
                                  <w:t>Vlada-Government</w:t>
                                </w:r>
                                <w:proofErr w:type="spellEnd"/>
                              </w:p>
                              <w:p w:rsidR="003E4A1F" w:rsidRDefault="003E4A1F" w:rsidP="003E4A1F">
                                <w:pPr>
                                  <w:spacing w:before="0" w:after="0" w:line="240" w:lineRule="auto"/>
                                  <w:jc w:val="center"/>
                                  <w:rPr>
                                    <w:rFonts w:ascii="Book Antiqua" w:hAnsi="Book Antiqua" w:cs="Book Antiqua"/>
                                    <w:b/>
                                    <w:bCs/>
                                    <w:i/>
                                    <w:iCs/>
                                    <w:sz w:val="22"/>
                                    <w:szCs w:val="22"/>
                                    <w:lang w:eastAsia="en-US"/>
                                  </w:rPr>
                                </w:pPr>
                                <w:r w:rsidRPr="001949B9">
                                  <w:rPr>
                                    <w:rFonts w:ascii="Book Antiqua" w:hAnsi="Book Antiqua" w:cs="Book Antiqua"/>
                                    <w:b/>
                                    <w:bCs/>
                                    <w:i/>
                                    <w:iCs/>
                                    <w:sz w:val="22"/>
                                    <w:szCs w:val="22"/>
                                    <w:lang w:eastAsia="en-US"/>
                                  </w:rPr>
                                  <w:t>Ministr</w:t>
                                </w:r>
                                <w:r>
                                  <w:rPr>
                                    <w:rFonts w:ascii="Book Antiqua" w:hAnsi="Book Antiqua" w:cs="Book Antiqua"/>
                                    <w:b/>
                                    <w:bCs/>
                                    <w:i/>
                                    <w:iCs/>
                                    <w:sz w:val="22"/>
                                    <w:szCs w:val="22"/>
                                    <w:lang w:eastAsia="en-US"/>
                                  </w:rPr>
                                  <w:t xml:space="preserve">ia e Shëndetësisë - </w:t>
                                </w:r>
                                <w:proofErr w:type="spellStart"/>
                                <w:r>
                                  <w:rPr>
                                    <w:rFonts w:ascii="Book Antiqua" w:hAnsi="Book Antiqua" w:cs="Book Antiqua"/>
                                    <w:b/>
                                    <w:bCs/>
                                    <w:i/>
                                    <w:iCs/>
                                    <w:sz w:val="22"/>
                                    <w:szCs w:val="22"/>
                                    <w:lang w:eastAsia="en-US"/>
                                  </w:rPr>
                                  <w:t>Ministarstvo</w:t>
                                </w:r>
                                <w:proofErr w:type="spellEnd"/>
                                <w:r w:rsidRPr="001949B9">
                                  <w:rPr>
                                    <w:rFonts w:ascii="Book Antiqua" w:hAnsi="Book Antiqua" w:cs="Book Antiqua"/>
                                    <w:b/>
                                    <w:bCs/>
                                    <w:i/>
                                    <w:iCs/>
                                    <w:sz w:val="22"/>
                                    <w:szCs w:val="22"/>
                                    <w:lang w:eastAsia="en-US"/>
                                  </w:rPr>
                                  <w:t xml:space="preserve"> </w:t>
                                </w:r>
                                <w:proofErr w:type="spellStart"/>
                                <w:r w:rsidRPr="001949B9">
                                  <w:rPr>
                                    <w:rFonts w:ascii="Book Antiqua" w:hAnsi="Book Antiqua" w:cs="Book Antiqua"/>
                                    <w:b/>
                                    <w:bCs/>
                                    <w:i/>
                                    <w:iCs/>
                                    <w:sz w:val="22"/>
                                    <w:szCs w:val="22"/>
                                    <w:lang w:eastAsia="en-US"/>
                                  </w:rPr>
                                  <w:t>Zdravstva</w:t>
                                </w:r>
                                <w:proofErr w:type="spellEnd"/>
                                <w:r w:rsidRPr="001949B9">
                                  <w:rPr>
                                    <w:rFonts w:ascii="Book Antiqua" w:hAnsi="Book Antiqua" w:cs="Book Antiqua"/>
                                    <w:b/>
                                    <w:bCs/>
                                    <w:i/>
                                    <w:iCs/>
                                    <w:sz w:val="22"/>
                                    <w:szCs w:val="22"/>
                                    <w:lang w:eastAsia="en-US"/>
                                  </w:rPr>
                                  <w:t xml:space="preserve"> - </w:t>
                                </w:r>
                                <w:proofErr w:type="spellStart"/>
                                <w:r w:rsidRPr="001949B9">
                                  <w:rPr>
                                    <w:rFonts w:ascii="Book Antiqua" w:hAnsi="Book Antiqua" w:cs="Book Antiqua"/>
                                    <w:b/>
                                    <w:bCs/>
                                    <w:i/>
                                    <w:iCs/>
                                    <w:sz w:val="22"/>
                                    <w:szCs w:val="22"/>
                                    <w:lang w:eastAsia="en-US"/>
                                  </w:rPr>
                                  <w:t>Ministry</w:t>
                                </w:r>
                                <w:proofErr w:type="spellEnd"/>
                                <w:r w:rsidRPr="001949B9">
                                  <w:rPr>
                                    <w:rFonts w:ascii="Book Antiqua" w:hAnsi="Book Antiqua" w:cs="Book Antiqua"/>
                                    <w:b/>
                                    <w:bCs/>
                                    <w:i/>
                                    <w:iCs/>
                                    <w:sz w:val="22"/>
                                    <w:szCs w:val="22"/>
                                    <w:lang w:eastAsia="en-US"/>
                                  </w:rPr>
                                  <w:t xml:space="preserve"> </w:t>
                                </w:r>
                                <w:proofErr w:type="spellStart"/>
                                <w:r w:rsidRPr="001949B9">
                                  <w:rPr>
                                    <w:rFonts w:ascii="Book Antiqua" w:hAnsi="Book Antiqua" w:cs="Book Antiqua"/>
                                    <w:b/>
                                    <w:bCs/>
                                    <w:i/>
                                    <w:iCs/>
                                    <w:sz w:val="22"/>
                                    <w:szCs w:val="22"/>
                                    <w:lang w:eastAsia="en-US"/>
                                  </w:rPr>
                                  <w:t>of</w:t>
                                </w:r>
                                <w:proofErr w:type="spellEnd"/>
                                <w:r w:rsidRPr="001949B9">
                                  <w:rPr>
                                    <w:rFonts w:ascii="Book Antiqua" w:hAnsi="Book Antiqua" w:cs="Book Antiqua"/>
                                    <w:b/>
                                    <w:bCs/>
                                    <w:i/>
                                    <w:iCs/>
                                    <w:sz w:val="22"/>
                                    <w:szCs w:val="22"/>
                                    <w:lang w:eastAsia="en-US"/>
                                  </w:rPr>
                                  <w:t xml:space="preserve"> </w:t>
                                </w:r>
                                <w:proofErr w:type="spellStart"/>
                                <w:r w:rsidRPr="001949B9">
                                  <w:rPr>
                                    <w:rFonts w:ascii="Book Antiqua" w:hAnsi="Book Antiqua" w:cs="Book Antiqua"/>
                                    <w:b/>
                                    <w:bCs/>
                                    <w:i/>
                                    <w:iCs/>
                                    <w:sz w:val="22"/>
                                    <w:szCs w:val="22"/>
                                    <w:lang w:eastAsia="en-US"/>
                                  </w:rPr>
                                  <w:t>Health</w:t>
                                </w:r>
                                <w:proofErr w:type="spellEnd"/>
                              </w:p>
                              <w:p w:rsidR="003E4A1F" w:rsidRPr="000079FD" w:rsidRDefault="003E4A1F" w:rsidP="003E4A1F">
                                <w:pPr>
                                  <w:jc w:val="center"/>
                                  <w:rPr>
                                    <w:rFonts w:ascii="Book Antiqua" w:hAnsi="Book Antiqua" w:cs="Book Antiqua"/>
                                    <w:b/>
                                  </w:rPr>
                                </w:pPr>
                                <w:r>
                                  <w:rPr>
                                    <w:rFonts w:ascii="Book Antiqua" w:hAnsi="Book Antiqua" w:cs="Book Antiqua"/>
                                    <w:b/>
                                  </w:rPr>
                                  <w:t>Departamenti për Integrim Evropian dhe Koordinim të Politikave</w:t>
                                </w:r>
                              </w:p>
                              <w:p w:rsidR="003E4A1F" w:rsidRPr="000079FD" w:rsidRDefault="003E4A1F" w:rsidP="003E4A1F"/>
                              <w:p w:rsidR="003E4A1F" w:rsidRPr="000079FD" w:rsidRDefault="003E4A1F" w:rsidP="003E4A1F">
                                <w:pPr>
                                  <w:rPr>
                                    <w:rFonts w:ascii="Book Antiqua" w:hAnsi="Book Antiqua"/>
                                    <w:b/>
                                    <w:sz w:val="24"/>
                                  </w:rPr>
                                </w:pPr>
                                <w:r w:rsidRPr="000079FD">
                                  <w:rPr>
                                    <w:rFonts w:ascii="Book Antiqua" w:hAnsi="Book Antiqua"/>
                                    <w:b/>
                                    <w:sz w:val="24"/>
                                  </w:rPr>
                                  <w:tab/>
                                </w:r>
                              </w:p>
                              <w:p w:rsidR="003E4A1F" w:rsidRDefault="003E4A1F" w:rsidP="003E4A1F">
                                <w:pPr>
                                  <w:jc w:val="center"/>
                                </w:pPr>
                              </w:p>
                              <w:p w:rsidR="003E4A1F" w:rsidRDefault="003E4A1F" w:rsidP="003E4A1F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74697C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alt="Company contact information" style="position:absolute;left:0;text-align:left;margin-left:61.95pt;margin-top:63.1pt;width:479.3pt;height:1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WYhlAIAAJAFAAAOAAAAZHJzL2Uyb0RvYy54bWysVF1P2zAUfZ+0/2D5faQtgqGKFHVFTJMq&#10;QIOJZ9exaYTj69lum+7X79hJWsT2wrQX58b33O9zfXnVNoZtlQ812ZKPT0acKSupqu1zyX883ny6&#10;4CxEYSthyKqS71XgV7OPHy53bqomtCZTKc/gxIbpzpV8HaObFkWQa9WIcEJOWSg1+UZE/PrnovJi&#10;B++NKSaj0XmxI185T1KFgNvrTsln2b/WSsY7rYOKzJQcucV8+nyu0lnMLsX02Qu3rmWfhviHLBpR&#10;WwQ9uLoWUbCNr/9w1dTSUyAdTyQ1BWldS5VrQDXj0ZtqHtbCqVwLmhPcoU3h/7mVt9t7z+oKs+PM&#10;igYjelRtZF+oZaecVSpIdGtBjRN2zyTZKGRkte0mgqGnDu5cmMLRg4Or2MI0eUvdCG5J8iUAUrzC&#10;dAYB6IRptW/SF71gMMSQ9ofBpEwkLs9HF5/HY6gkdJPJxWhycZYCF0dz50P8qqhhSSi5x+RzCmK7&#10;DLGDDpAUzdJNbQzuxdRYtkOI07NRNjho4NzYBFCZR72bVEeXepbi3qjOyXel0cdcQbrIDFYL49lW&#10;gHtCSmXjuE/aWKATSiOJ9xj2+GNW7zHu6hgiY5QH46a25LuJpcU7pl29DCnrDt9PMnR1pxbEdtWi&#10;j0lcUbUHBTx1axacvKkxjaUI8V547BUmiLci3uHQhtB16iXO1uR//e0+4UF3aDnbYU9LHn5uhFec&#10;mW8Wi5CWehD8IKwGwW6aBaH9IDeyySIMfDSDqD01T3hC5ikKVMJKxCp5HMRF7F4LEF6q+TyDsLpO&#10;xKV9cHJgeuLWY/skvOsJGMHdWxo2WEzf8LDDpjlamm8i6TqT9NjFvtFY+0zz/olK78rr/4w6PqSz&#10;3wAAAP//AwBQSwMEFAAGAAgAAAAhALAn/ebgAAAADAEAAA8AAABkcnMvZG93bnJldi54bWxMj8tO&#10;wzAQRfdI/IM1SOyo3ZRWIcSpEI8dr7Ygwc6JhyQiHke2k4a/x1nBbq7m6M6ZfDuZjo3ofGtJwnIh&#10;gCFVVrdUS3g7PFykwHxQpFVnCSX8oIdtcXqSq0zbI+1w3IeaxRLymZLQhNBnnPuqQaP8wvZIcfdl&#10;nVEhRldz7dQxlpuOJ0JsuFEtxQuN6vG2wep7PxgJ3Yd3j6UIn+Nd/RReX/jwfr98lvL8bLq5BhZw&#10;Cn8wzPpRHYroVNqBtGddzMnqKqLzsEmAzYRIkzWwUsJlul4BL3L+/4niFwAA//8DAFBLAQItABQA&#10;BgAIAAAAIQC2gziS/gAAAOEBAAATAAAAAAAAAAAAAAAAAAAAAABbQ29udGVudF9UeXBlc10ueG1s&#10;UEsBAi0AFAAGAAgAAAAhADj9If/WAAAAlAEAAAsAAAAAAAAAAAAAAAAALwEAAF9yZWxzLy5yZWxz&#10;UEsBAi0AFAAGAAgAAAAhAEWxZiGUAgAAkAUAAA4AAAAAAAAAAAAAAAAALgIAAGRycy9lMm9Eb2Mu&#10;eG1sUEsBAi0AFAAGAAgAAAAhALAn/ebgAAAADAEAAA8AAAAAAAAAAAAAAAAA7gQAAGRycy9kb3du&#10;cmV2LnhtbFBLBQYAAAAABAAEAPMAAAD7BQAAAAA=&#10;" o:allowincell="f" o:allowoverlap="f" filled="f" stroked="f" strokeweight=".5pt">
                    <v:textbox inset="0,0,0,0">
                      <w:txbxContent>
                        <w:p w:rsidR="003E4A1F" w:rsidRPr="00BB2F2A" w:rsidRDefault="003E4A1F" w:rsidP="003E4A1F">
                          <w:pPr>
                            <w:jc w:val="center"/>
                            <w:rPr>
                              <w:lang w:val="de-DE"/>
                            </w:rPr>
                          </w:pPr>
                          <w:r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 wp14:anchorId="01D6FE2D" wp14:editId="2FE1BA26">
                                <wp:extent cx="836430" cy="840402"/>
                                <wp:effectExtent l="0" t="0" r="1905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31.png"/>
                                        <pic:cNvPicPr/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4793" cy="8488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E4A1F" w:rsidRPr="001949B9" w:rsidRDefault="003E4A1F" w:rsidP="003E4A1F">
                          <w:pPr>
                            <w:spacing w:before="0" w:after="0" w:line="240" w:lineRule="auto"/>
                            <w:jc w:val="center"/>
                            <w:rPr>
                              <w:rFonts w:ascii="Book Antiqua" w:eastAsia="Batang" w:hAnsi="Book Antiqua" w:cs="Times New Roman"/>
                              <w:b/>
                              <w:bCs/>
                              <w:sz w:val="22"/>
                              <w:szCs w:val="22"/>
                              <w:lang w:eastAsia="en-US"/>
                            </w:rPr>
                          </w:pPr>
                          <w:r w:rsidRPr="001949B9">
                            <w:rPr>
                              <w:rFonts w:ascii="Book Antiqua" w:eastAsia="Times New Roman" w:hAnsi="Book Antiqua" w:cs="Book Antiqua"/>
                              <w:b/>
                              <w:bCs/>
                              <w:sz w:val="22"/>
                              <w:szCs w:val="22"/>
                              <w:lang w:eastAsia="en-US"/>
                            </w:rPr>
                            <w:t>Republika e Kosovës</w:t>
                          </w:r>
                        </w:p>
                        <w:p w:rsidR="003E4A1F" w:rsidRPr="001949B9" w:rsidRDefault="003E4A1F" w:rsidP="003E4A1F">
                          <w:pPr>
                            <w:spacing w:before="0" w:after="0" w:line="240" w:lineRule="auto"/>
                            <w:jc w:val="center"/>
                            <w:rPr>
                              <w:rFonts w:ascii="Book Antiqua" w:eastAsia="Times New Roman" w:hAnsi="Book Antiqua" w:cs="Book Antiqua"/>
                              <w:b/>
                              <w:bCs/>
                              <w:sz w:val="22"/>
                              <w:szCs w:val="22"/>
                              <w:lang w:eastAsia="en-US"/>
                            </w:rPr>
                          </w:pPr>
                          <w:r w:rsidRPr="001949B9">
                            <w:rPr>
                              <w:rFonts w:ascii="Book Antiqua" w:eastAsia="Batang" w:hAnsi="Book Antiqua" w:cs="Book Antiqua"/>
                              <w:b/>
                              <w:bCs/>
                              <w:sz w:val="22"/>
                              <w:szCs w:val="22"/>
                              <w:lang w:eastAsia="en-US"/>
                            </w:rPr>
                            <w:t>Republika Kosova-</w:t>
                          </w:r>
                          <w:proofErr w:type="spellStart"/>
                          <w:r w:rsidRPr="001949B9">
                            <w:rPr>
                              <w:rFonts w:ascii="Book Antiqua" w:eastAsia="Times New Roman" w:hAnsi="Book Antiqua" w:cs="Book Antiqua"/>
                              <w:b/>
                              <w:bCs/>
                              <w:sz w:val="22"/>
                              <w:szCs w:val="22"/>
                              <w:lang w:eastAsia="en-US"/>
                            </w:rPr>
                            <w:t>Republic</w:t>
                          </w:r>
                          <w:proofErr w:type="spellEnd"/>
                          <w:r w:rsidRPr="001949B9">
                            <w:rPr>
                              <w:rFonts w:ascii="Book Antiqua" w:eastAsia="Times New Roman" w:hAnsi="Book Antiqua" w:cs="Book Antiqua"/>
                              <w:b/>
                              <w:bCs/>
                              <w:sz w:val="22"/>
                              <w:szCs w:val="22"/>
                              <w:lang w:eastAsia="en-US"/>
                            </w:rPr>
                            <w:t xml:space="preserve"> </w:t>
                          </w:r>
                          <w:proofErr w:type="spellStart"/>
                          <w:r w:rsidRPr="001949B9">
                            <w:rPr>
                              <w:rFonts w:ascii="Book Antiqua" w:eastAsia="Times New Roman" w:hAnsi="Book Antiqua" w:cs="Book Antiqua"/>
                              <w:b/>
                              <w:bCs/>
                              <w:sz w:val="22"/>
                              <w:szCs w:val="22"/>
                              <w:lang w:eastAsia="en-US"/>
                            </w:rPr>
                            <w:t>of</w:t>
                          </w:r>
                          <w:proofErr w:type="spellEnd"/>
                          <w:r w:rsidRPr="001949B9">
                            <w:rPr>
                              <w:rFonts w:ascii="Book Antiqua" w:eastAsia="Times New Roman" w:hAnsi="Book Antiqua" w:cs="Book Antiqua"/>
                              <w:b/>
                              <w:bCs/>
                              <w:sz w:val="22"/>
                              <w:szCs w:val="22"/>
                              <w:lang w:eastAsia="en-US"/>
                            </w:rPr>
                            <w:t xml:space="preserve"> </w:t>
                          </w:r>
                          <w:proofErr w:type="spellStart"/>
                          <w:r w:rsidRPr="001949B9">
                            <w:rPr>
                              <w:rFonts w:ascii="Book Antiqua" w:eastAsia="Times New Roman" w:hAnsi="Book Antiqua" w:cs="Book Antiqua"/>
                              <w:b/>
                              <w:bCs/>
                              <w:sz w:val="22"/>
                              <w:szCs w:val="22"/>
                              <w:lang w:eastAsia="en-US"/>
                            </w:rPr>
                            <w:t>Kosovo</w:t>
                          </w:r>
                          <w:proofErr w:type="spellEnd"/>
                        </w:p>
                        <w:p w:rsidR="003E4A1F" w:rsidRPr="001949B9" w:rsidRDefault="003E4A1F" w:rsidP="003E4A1F">
                          <w:pPr>
                            <w:spacing w:before="0" w:after="0" w:line="240" w:lineRule="auto"/>
                            <w:jc w:val="center"/>
                            <w:rPr>
                              <w:rFonts w:ascii="Book Antiqua" w:hAnsi="Book Antiqua" w:cs="Book Antiqua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  <w:lang w:eastAsia="en-US"/>
                            </w:rPr>
                          </w:pPr>
                          <w:r w:rsidRPr="001949B9">
                            <w:rPr>
                              <w:rFonts w:ascii="Book Antiqua" w:hAnsi="Book Antiqua" w:cs="Book Antiqua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  <w:lang w:eastAsia="en-US"/>
                            </w:rPr>
                            <w:t>Qeveria –</w:t>
                          </w:r>
                          <w:proofErr w:type="spellStart"/>
                          <w:r w:rsidRPr="001949B9">
                            <w:rPr>
                              <w:rFonts w:ascii="Book Antiqua" w:hAnsi="Book Antiqua" w:cs="Book Antiqua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  <w:lang w:eastAsia="en-US"/>
                            </w:rPr>
                            <w:t>Vlada-Government</w:t>
                          </w:r>
                          <w:proofErr w:type="spellEnd"/>
                        </w:p>
                        <w:p w:rsidR="003E4A1F" w:rsidRDefault="003E4A1F" w:rsidP="003E4A1F">
                          <w:pPr>
                            <w:spacing w:before="0" w:after="0" w:line="240" w:lineRule="auto"/>
                            <w:jc w:val="center"/>
                            <w:rPr>
                              <w:rFonts w:ascii="Book Antiqua" w:hAnsi="Book Antiqua" w:cs="Book Antiqua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  <w:lang w:eastAsia="en-US"/>
                            </w:rPr>
                          </w:pPr>
                          <w:r w:rsidRPr="001949B9">
                            <w:rPr>
                              <w:rFonts w:ascii="Book Antiqua" w:hAnsi="Book Antiqua" w:cs="Book Antiqua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  <w:lang w:eastAsia="en-US"/>
                            </w:rPr>
                            <w:t>Ministr</w:t>
                          </w:r>
                          <w:r>
                            <w:rPr>
                              <w:rFonts w:ascii="Book Antiqua" w:hAnsi="Book Antiqua" w:cs="Book Antiqua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  <w:lang w:eastAsia="en-US"/>
                            </w:rPr>
                            <w:t xml:space="preserve">ia e Shëndetësisë - </w:t>
                          </w:r>
                          <w:proofErr w:type="spellStart"/>
                          <w:r>
                            <w:rPr>
                              <w:rFonts w:ascii="Book Antiqua" w:hAnsi="Book Antiqua" w:cs="Book Antiqua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  <w:lang w:eastAsia="en-US"/>
                            </w:rPr>
                            <w:t>Ministarstvo</w:t>
                          </w:r>
                          <w:proofErr w:type="spellEnd"/>
                          <w:r w:rsidRPr="001949B9">
                            <w:rPr>
                              <w:rFonts w:ascii="Book Antiqua" w:hAnsi="Book Antiqua" w:cs="Book Antiqua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  <w:lang w:eastAsia="en-US"/>
                            </w:rPr>
                            <w:t xml:space="preserve"> </w:t>
                          </w:r>
                          <w:proofErr w:type="spellStart"/>
                          <w:r w:rsidRPr="001949B9">
                            <w:rPr>
                              <w:rFonts w:ascii="Book Antiqua" w:hAnsi="Book Antiqua" w:cs="Book Antiqua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  <w:lang w:eastAsia="en-US"/>
                            </w:rPr>
                            <w:t>Zdravstva</w:t>
                          </w:r>
                          <w:proofErr w:type="spellEnd"/>
                          <w:r w:rsidRPr="001949B9">
                            <w:rPr>
                              <w:rFonts w:ascii="Book Antiqua" w:hAnsi="Book Antiqua" w:cs="Book Antiqua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  <w:lang w:eastAsia="en-US"/>
                            </w:rPr>
                            <w:t xml:space="preserve"> - </w:t>
                          </w:r>
                          <w:proofErr w:type="spellStart"/>
                          <w:r w:rsidRPr="001949B9">
                            <w:rPr>
                              <w:rFonts w:ascii="Book Antiqua" w:hAnsi="Book Antiqua" w:cs="Book Antiqua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  <w:lang w:eastAsia="en-US"/>
                            </w:rPr>
                            <w:t>Ministry</w:t>
                          </w:r>
                          <w:proofErr w:type="spellEnd"/>
                          <w:r w:rsidRPr="001949B9">
                            <w:rPr>
                              <w:rFonts w:ascii="Book Antiqua" w:hAnsi="Book Antiqua" w:cs="Book Antiqua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  <w:lang w:eastAsia="en-US"/>
                            </w:rPr>
                            <w:t xml:space="preserve"> </w:t>
                          </w:r>
                          <w:proofErr w:type="spellStart"/>
                          <w:r w:rsidRPr="001949B9">
                            <w:rPr>
                              <w:rFonts w:ascii="Book Antiqua" w:hAnsi="Book Antiqua" w:cs="Book Antiqua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  <w:lang w:eastAsia="en-US"/>
                            </w:rPr>
                            <w:t>of</w:t>
                          </w:r>
                          <w:proofErr w:type="spellEnd"/>
                          <w:r w:rsidRPr="001949B9">
                            <w:rPr>
                              <w:rFonts w:ascii="Book Antiqua" w:hAnsi="Book Antiqua" w:cs="Book Antiqua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  <w:lang w:eastAsia="en-US"/>
                            </w:rPr>
                            <w:t xml:space="preserve"> </w:t>
                          </w:r>
                          <w:proofErr w:type="spellStart"/>
                          <w:r w:rsidRPr="001949B9">
                            <w:rPr>
                              <w:rFonts w:ascii="Book Antiqua" w:hAnsi="Book Antiqua" w:cs="Book Antiqua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  <w:lang w:eastAsia="en-US"/>
                            </w:rPr>
                            <w:t>Health</w:t>
                          </w:r>
                          <w:proofErr w:type="spellEnd"/>
                        </w:p>
                        <w:p w:rsidR="003E4A1F" w:rsidRPr="000079FD" w:rsidRDefault="003E4A1F" w:rsidP="003E4A1F">
                          <w:pPr>
                            <w:jc w:val="center"/>
                            <w:rPr>
                              <w:rFonts w:ascii="Book Antiqua" w:hAnsi="Book Antiqua" w:cs="Book Antiqua"/>
                              <w:b/>
                            </w:rPr>
                          </w:pPr>
                          <w:r>
                            <w:rPr>
                              <w:rFonts w:ascii="Book Antiqua" w:hAnsi="Book Antiqua" w:cs="Book Antiqua"/>
                              <w:b/>
                            </w:rPr>
                            <w:t>Departamenti për Integrim Evropian dhe Koordinim të Politikave</w:t>
                          </w:r>
                        </w:p>
                        <w:p w:rsidR="003E4A1F" w:rsidRPr="000079FD" w:rsidRDefault="003E4A1F" w:rsidP="003E4A1F"/>
                        <w:p w:rsidR="003E4A1F" w:rsidRPr="000079FD" w:rsidRDefault="003E4A1F" w:rsidP="003E4A1F">
                          <w:pPr>
                            <w:rPr>
                              <w:rFonts w:ascii="Book Antiqua" w:hAnsi="Book Antiqua"/>
                              <w:b/>
                              <w:sz w:val="24"/>
                            </w:rPr>
                          </w:pPr>
                          <w:r w:rsidRPr="000079FD">
                            <w:rPr>
                              <w:rFonts w:ascii="Book Antiqua" w:hAnsi="Book Antiqua"/>
                              <w:b/>
                              <w:sz w:val="24"/>
                            </w:rPr>
                            <w:tab/>
                          </w:r>
                        </w:p>
                        <w:p w:rsidR="003E4A1F" w:rsidRDefault="003E4A1F" w:rsidP="003E4A1F">
                          <w:pPr>
                            <w:jc w:val="center"/>
                          </w:pPr>
                        </w:p>
                        <w:p w:rsidR="003E4A1F" w:rsidRDefault="003E4A1F" w:rsidP="003E4A1F"/>
                      </w:txbxContent>
                    </v:textbox>
                    <w10:wrap type="topAndBottom" anchorx="page" anchory="page"/>
                  </v:shape>
                </w:pict>
              </mc:Fallback>
            </mc:AlternateContent>
          </w:r>
        </w:p>
        <w:p w:rsidR="003E4A1F" w:rsidRPr="00007381" w:rsidRDefault="00E71AF6" w:rsidP="003E4A1F">
          <w:pPr>
            <w:tabs>
              <w:tab w:val="left" w:pos="36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:rsidR="003E4A1F" w:rsidRPr="00007381" w:rsidRDefault="00E71AF6" w:rsidP="003E4A1F">
      <w:pPr>
        <w:pStyle w:val="Title"/>
        <w:tabs>
          <w:tab w:val="left" w:pos="360"/>
        </w:tabs>
        <w:jc w:val="center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sdt>
        <w:sdtPr>
          <w:rPr>
            <w:rFonts w:ascii="Times New Roman" w:hAnsi="Times New Roman" w:cs="Times New Roman"/>
            <w:b/>
            <w:color w:val="000000" w:themeColor="text1"/>
            <w:sz w:val="24"/>
            <w:szCs w:val="24"/>
          </w:rPr>
          <w:alias w:val="Title"/>
          <w:tag w:val=""/>
          <w:id w:val="701364701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03196" w:rsidRPr="00007381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Raporti i pLanit t</w:t>
          </w:r>
          <w:r w:rsidR="00007381" w:rsidRPr="00007381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ë</w:t>
          </w:r>
          <w:r w:rsidR="00103196" w:rsidRPr="00007381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 xml:space="preserve"> integritetit institucional   </w:t>
          </w:r>
          <w:r w:rsidR="00007381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 xml:space="preserve"> </w:t>
          </w:r>
          <w:r w:rsidR="00103196" w:rsidRPr="00007381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 xml:space="preserve">                ministria e shëndetësisë</w:t>
          </w:r>
        </w:sdtContent>
      </w:sdt>
    </w:p>
    <w:p w:rsidR="003E4A1F" w:rsidRPr="00007381" w:rsidRDefault="003E4A1F" w:rsidP="003E4A1F">
      <w:pPr>
        <w:pStyle w:val="Subtitle"/>
        <w:tabs>
          <w:tab w:val="left" w:pos="360"/>
        </w:tabs>
        <w:spacing w:line="276" w:lineRule="auto"/>
        <w:ind w:right="-248"/>
        <w:jc w:val="center"/>
        <w:rPr>
          <w:rFonts w:ascii="Times New Roman" w:hAnsi="Times New Roman" w:cs="Times New Roman"/>
          <w:sz w:val="24"/>
          <w:szCs w:val="24"/>
        </w:rPr>
      </w:pPr>
      <w:r w:rsidRPr="000073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(janar-</w:t>
      </w:r>
      <w:r w:rsidR="00103196" w:rsidRPr="000073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qershor </w:t>
      </w:r>
      <w:r w:rsidRPr="000073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103196" w:rsidRPr="000073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0073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3E4A1F" w:rsidRPr="00007381" w:rsidRDefault="003E4A1F" w:rsidP="003E4A1F">
      <w:pPr>
        <w:tabs>
          <w:tab w:val="left" w:pos="360"/>
        </w:tabs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:rsidR="003E4A1F" w:rsidRPr="00007381" w:rsidRDefault="003E4A1F" w:rsidP="003E4A1F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E4A1F" w:rsidRPr="00007381" w:rsidRDefault="003E4A1F" w:rsidP="003E4A1F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E4A1F" w:rsidRPr="00007381" w:rsidRDefault="003E4A1F" w:rsidP="003E4A1F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E4A1F" w:rsidRPr="00007381" w:rsidRDefault="003E4A1F" w:rsidP="003E4A1F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E4A1F" w:rsidRPr="00007381" w:rsidRDefault="003E4A1F" w:rsidP="003E4A1F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E4A1F" w:rsidRPr="00007381" w:rsidRDefault="003E4A1F" w:rsidP="003E4A1F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E4A1F" w:rsidRPr="00007381" w:rsidRDefault="003E4A1F" w:rsidP="003E4A1F">
      <w:pPr>
        <w:tabs>
          <w:tab w:val="left" w:pos="360"/>
        </w:tabs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</w:p>
    <w:p w:rsidR="003E4A1F" w:rsidRPr="00007381" w:rsidRDefault="003E4A1F" w:rsidP="003E4A1F">
      <w:pPr>
        <w:tabs>
          <w:tab w:val="left" w:pos="360"/>
        </w:tabs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</w:p>
    <w:p w:rsidR="003E4A1F" w:rsidRPr="00007381" w:rsidRDefault="003E4A1F" w:rsidP="003E4A1F">
      <w:pPr>
        <w:tabs>
          <w:tab w:val="left" w:pos="360"/>
        </w:tabs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007381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Prishtinë, </w:t>
      </w:r>
    </w:p>
    <w:p w:rsidR="003E4A1F" w:rsidRPr="00007381" w:rsidRDefault="00103196" w:rsidP="003E4A1F">
      <w:pPr>
        <w:tabs>
          <w:tab w:val="left" w:pos="360"/>
        </w:tabs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007381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Korrik</w:t>
      </w:r>
      <w:r w:rsidR="003E4A1F" w:rsidRPr="00007381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, 2024</w:t>
      </w:r>
    </w:p>
    <w:p w:rsidR="003E4A1F" w:rsidRPr="00007381" w:rsidRDefault="003E4A1F" w:rsidP="003E4A1F">
      <w:pPr>
        <w:tabs>
          <w:tab w:val="left" w:pos="360"/>
        </w:tabs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</w:p>
    <w:p w:rsidR="003E4A1F" w:rsidRPr="00007381" w:rsidRDefault="003E4A1F" w:rsidP="003E4A1F">
      <w:pPr>
        <w:pStyle w:val="TOCHeading"/>
        <w:tabs>
          <w:tab w:val="left" w:pos="360"/>
          <w:tab w:val="right" w:pos="10009"/>
        </w:tabs>
        <w:ind w:right="-35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07381">
        <w:rPr>
          <w:rFonts w:ascii="Times New Roman" w:hAnsi="Times New Roman" w:cs="Times New Roman"/>
          <w:b/>
          <w:caps w:val="0"/>
          <w:color w:val="auto"/>
          <w:sz w:val="24"/>
          <w:szCs w:val="24"/>
        </w:rPr>
        <w:lastRenderedPageBreak/>
        <w:t>Përmbajtja</w:t>
      </w:r>
    </w:p>
    <w:sdt>
      <w:sdtPr>
        <w:rPr>
          <w:rFonts w:ascii="Times New Roman" w:hAnsi="Times New Roman" w:cs="Times New Roman"/>
          <w:caps w:val="0"/>
          <w:color w:val="auto"/>
          <w:spacing w:val="0"/>
          <w:sz w:val="24"/>
          <w:szCs w:val="24"/>
        </w:rPr>
        <w:id w:val="346660402"/>
        <w:docPartObj>
          <w:docPartGallery w:val="Table of Contents"/>
          <w:docPartUnique/>
        </w:docPartObj>
      </w:sdtPr>
      <w:sdtEndPr>
        <w:rPr>
          <w:b/>
        </w:rPr>
      </w:sdtEndPr>
      <w:sdtContent>
        <w:p w:rsidR="003E4A1F" w:rsidRPr="00007381" w:rsidRDefault="003E4A1F" w:rsidP="003E4A1F">
          <w:pPr>
            <w:pStyle w:val="TOCHeading"/>
            <w:rPr>
              <w:rFonts w:ascii="Times New Roman" w:hAnsi="Times New Roman" w:cs="Times New Roman"/>
              <w:sz w:val="24"/>
              <w:szCs w:val="24"/>
            </w:rPr>
          </w:pPr>
        </w:p>
        <w:p w:rsidR="00007381" w:rsidRDefault="003E4A1F">
          <w:pPr>
            <w:pStyle w:val="TOC1"/>
            <w:rPr>
              <w:rFonts w:asciiTheme="minorHAnsi" w:hAnsiTheme="minorHAnsi"/>
              <w:noProof/>
              <w:color w:val="auto"/>
              <w:sz w:val="22"/>
              <w:szCs w:val="22"/>
              <w:lang w:val="en-US" w:eastAsia="en-US"/>
            </w:rPr>
          </w:pPr>
          <w:r w:rsidRPr="00007381">
            <w:rPr>
              <w:rFonts w:ascii="Times New Roman" w:hAnsi="Times New Roman" w:cs="Times New Roman"/>
              <w:b/>
              <w:color w:val="auto"/>
              <w:szCs w:val="24"/>
            </w:rPr>
            <w:fldChar w:fldCharType="begin"/>
          </w:r>
          <w:r w:rsidRPr="00007381">
            <w:rPr>
              <w:rFonts w:ascii="Times New Roman" w:hAnsi="Times New Roman" w:cs="Times New Roman"/>
              <w:b/>
              <w:color w:val="auto"/>
              <w:szCs w:val="24"/>
            </w:rPr>
            <w:instrText xml:space="preserve"> TOC \o "1-3" \h \z \u </w:instrText>
          </w:r>
          <w:r w:rsidRPr="00007381">
            <w:rPr>
              <w:rFonts w:ascii="Times New Roman" w:hAnsi="Times New Roman" w:cs="Times New Roman"/>
              <w:b/>
              <w:color w:val="auto"/>
              <w:szCs w:val="24"/>
            </w:rPr>
            <w:fldChar w:fldCharType="separate"/>
          </w:r>
          <w:hyperlink w:anchor="_Toc171939825" w:history="1">
            <w:r w:rsidR="00007381" w:rsidRPr="003A1151">
              <w:rPr>
                <w:rStyle w:val="Hyperlink"/>
                <w:rFonts w:ascii="Times New Roman" w:hAnsi="Times New Roman" w:cs="Times New Roman"/>
                <w:b/>
                <w:noProof/>
              </w:rPr>
              <w:t>Përmbledhje ekzekutive</w:t>
            </w:r>
            <w:r w:rsidR="00007381">
              <w:rPr>
                <w:noProof/>
                <w:webHidden/>
              </w:rPr>
              <w:tab/>
            </w:r>
            <w:r w:rsidR="00007381">
              <w:rPr>
                <w:noProof/>
                <w:webHidden/>
              </w:rPr>
              <w:fldChar w:fldCharType="begin"/>
            </w:r>
            <w:r w:rsidR="00007381">
              <w:rPr>
                <w:noProof/>
                <w:webHidden/>
              </w:rPr>
              <w:instrText xml:space="preserve"> PAGEREF _Toc171939825 \h </w:instrText>
            </w:r>
            <w:r w:rsidR="00007381">
              <w:rPr>
                <w:noProof/>
                <w:webHidden/>
              </w:rPr>
            </w:r>
            <w:r w:rsidR="00007381">
              <w:rPr>
                <w:noProof/>
                <w:webHidden/>
              </w:rPr>
              <w:fldChar w:fldCharType="separate"/>
            </w:r>
            <w:r w:rsidR="00007381">
              <w:rPr>
                <w:noProof/>
                <w:webHidden/>
              </w:rPr>
              <w:t>1</w:t>
            </w:r>
            <w:r w:rsidR="00007381">
              <w:rPr>
                <w:noProof/>
                <w:webHidden/>
              </w:rPr>
              <w:fldChar w:fldCharType="end"/>
            </w:r>
          </w:hyperlink>
        </w:p>
        <w:p w:rsidR="00007381" w:rsidRDefault="00007381">
          <w:pPr>
            <w:pStyle w:val="TOC1"/>
            <w:tabs>
              <w:tab w:val="left" w:pos="440"/>
            </w:tabs>
            <w:rPr>
              <w:rFonts w:asciiTheme="minorHAnsi" w:hAnsiTheme="minorHAnsi"/>
              <w:noProof/>
              <w:color w:val="auto"/>
              <w:sz w:val="22"/>
              <w:szCs w:val="22"/>
              <w:lang w:val="en-US" w:eastAsia="en-US"/>
            </w:rPr>
          </w:pPr>
          <w:hyperlink w:anchor="_Toc171939826" w:history="1">
            <w:r w:rsidRPr="003A1151">
              <w:rPr>
                <w:rStyle w:val="Hyperlink"/>
                <w:rFonts w:ascii="Times New Roman" w:hAnsi="Times New Roman" w:cs="Times New Roman"/>
                <w:b/>
                <w:noProof/>
              </w:rPr>
              <w:t>I.</w:t>
            </w:r>
            <w:r>
              <w:rPr>
                <w:rFonts w:asciiTheme="minorHAnsi" w:hAnsiTheme="minorHAnsi"/>
                <w:noProof/>
                <w:color w:val="auto"/>
                <w:sz w:val="22"/>
                <w:szCs w:val="22"/>
                <w:lang w:val="en-US" w:eastAsia="en-US"/>
              </w:rPr>
              <w:tab/>
            </w:r>
            <w:r w:rsidRPr="003A1151">
              <w:rPr>
                <w:rStyle w:val="Hyperlink"/>
                <w:rFonts w:ascii="Times New Roman" w:hAnsi="Times New Roman" w:cs="Times New Roman"/>
                <w:b/>
                <w:noProof/>
              </w:rPr>
              <w:t>Realizimi i aktiviteteve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_Toc171939826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7381" w:rsidRDefault="00007381">
          <w:pPr>
            <w:pStyle w:val="TOC1"/>
            <w:tabs>
              <w:tab w:val="left" w:pos="660"/>
            </w:tabs>
            <w:rPr>
              <w:rFonts w:asciiTheme="minorHAnsi" w:hAnsiTheme="minorHAnsi"/>
              <w:noProof/>
              <w:color w:val="auto"/>
              <w:sz w:val="22"/>
              <w:szCs w:val="22"/>
              <w:lang w:val="en-US" w:eastAsia="en-US"/>
            </w:rPr>
          </w:pPr>
          <w:hyperlink w:anchor="_Toc171939827" w:history="1">
            <w:r w:rsidRPr="003A1151">
              <w:rPr>
                <w:rStyle w:val="Hyperlink"/>
                <w:rFonts w:ascii="Times New Roman" w:hAnsi="Times New Roman" w:cs="Times New Roman"/>
                <w:b/>
                <w:noProof/>
              </w:rPr>
              <w:t>II.</w:t>
            </w:r>
            <w:r>
              <w:rPr>
                <w:rFonts w:asciiTheme="minorHAnsi" w:hAnsiTheme="minorHAnsi"/>
                <w:noProof/>
                <w:color w:val="auto"/>
                <w:sz w:val="22"/>
                <w:szCs w:val="22"/>
                <w:lang w:val="en-US" w:eastAsia="en-US"/>
              </w:rPr>
              <w:tab/>
            </w:r>
            <w:r w:rsidRPr="003A1151">
              <w:rPr>
                <w:rStyle w:val="Hyperlink"/>
                <w:rFonts w:ascii="Times New Roman" w:hAnsi="Times New Roman" w:cs="Times New Roman"/>
                <w:b/>
                <w:noProof/>
              </w:rPr>
              <w:t>Sfidat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_Toc171939827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7381" w:rsidRDefault="00007381">
          <w:pPr>
            <w:pStyle w:val="TOC1"/>
            <w:tabs>
              <w:tab w:val="left" w:pos="660"/>
            </w:tabs>
            <w:rPr>
              <w:rFonts w:asciiTheme="minorHAnsi" w:hAnsiTheme="minorHAnsi"/>
              <w:noProof/>
              <w:color w:val="auto"/>
              <w:sz w:val="22"/>
              <w:szCs w:val="22"/>
              <w:lang w:val="en-US" w:eastAsia="en-US"/>
            </w:rPr>
          </w:pPr>
          <w:hyperlink w:anchor="_Toc171939828" w:history="1">
            <w:r w:rsidRPr="003A1151">
              <w:rPr>
                <w:rStyle w:val="Hyperlink"/>
                <w:rFonts w:ascii="Times New Roman" w:hAnsi="Times New Roman" w:cs="Times New Roman"/>
                <w:b/>
                <w:noProof/>
              </w:rPr>
              <w:t>III.</w:t>
            </w:r>
            <w:r>
              <w:rPr>
                <w:rFonts w:asciiTheme="minorHAnsi" w:hAnsiTheme="minorHAnsi"/>
                <w:noProof/>
                <w:color w:val="auto"/>
                <w:sz w:val="22"/>
                <w:szCs w:val="22"/>
                <w:lang w:val="en-US" w:eastAsia="en-US"/>
              </w:rPr>
              <w:tab/>
            </w:r>
            <w:r w:rsidRPr="003A1151">
              <w:rPr>
                <w:rStyle w:val="Hyperlink"/>
                <w:rFonts w:ascii="Times New Roman" w:hAnsi="Times New Roman" w:cs="Times New Roman"/>
                <w:b/>
                <w:noProof/>
              </w:rPr>
              <w:t>Rekomandimet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_Toc171939828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4A1F" w:rsidRPr="00007381" w:rsidRDefault="003E4A1F" w:rsidP="003E4A1F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07381"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</w:p>
      </w:sdtContent>
    </w:sdt>
    <w:p w:rsidR="003E4A1F" w:rsidRPr="00007381" w:rsidRDefault="003E4A1F" w:rsidP="003E4A1F">
      <w:pPr>
        <w:pStyle w:val="TOCHeading"/>
        <w:tabs>
          <w:tab w:val="left" w:pos="360"/>
          <w:tab w:val="right" w:pos="10009"/>
        </w:tabs>
        <w:ind w:right="-35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07381"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3E4A1F" w:rsidRPr="00007381" w:rsidRDefault="003E4A1F" w:rsidP="003E4A1F">
      <w:pPr>
        <w:tabs>
          <w:tab w:val="left" w:pos="180"/>
          <w:tab w:val="left" w:pos="27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3E4A1F" w:rsidRPr="00007381" w:rsidSect="00C019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454" w:right="837" w:bottom="1701" w:left="1418" w:header="624" w:footer="624" w:gutter="0"/>
          <w:pgBorders w:offsetFrom="page">
            <w:top w:val="single" w:sz="4" w:space="24" w:color="70AD47" w:themeColor="accent6"/>
            <w:left w:val="single" w:sz="4" w:space="24" w:color="70AD47" w:themeColor="accent6"/>
            <w:bottom w:val="single" w:sz="4" w:space="24" w:color="70AD47" w:themeColor="accent6"/>
            <w:right w:val="single" w:sz="4" w:space="24" w:color="70AD47" w:themeColor="accent6"/>
          </w:pgBorders>
          <w:pgNumType w:start="0"/>
          <w:cols w:space="720"/>
          <w:titlePg/>
          <w:docGrid w:linePitch="360"/>
        </w:sectPr>
      </w:pPr>
    </w:p>
    <w:p w:rsidR="003E4A1F" w:rsidRPr="00007381" w:rsidRDefault="003E4A1F" w:rsidP="003E4A1F">
      <w:pPr>
        <w:pStyle w:val="Heading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Toc523994898"/>
      <w:bookmarkStart w:id="2" w:name="_Toc171939825"/>
      <w:r w:rsidRPr="00007381">
        <w:rPr>
          <w:rFonts w:ascii="Times New Roman" w:hAnsi="Times New Roman" w:cs="Times New Roman"/>
          <w:b/>
          <w:caps w:val="0"/>
          <w:color w:val="000000" w:themeColor="text1"/>
          <w:sz w:val="24"/>
          <w:szCs w:val="24"/>
        </w:rPr>
        <w:lastRenderedPageBreak/>
        <w:t>Përmbledhje ekzekutive</w:t>
      </w:r>
      <w:bookmarkEnd w:id="1"/>
      <w:bookmarkEnd w:id="2"/>
    </w:p>
    <w:p w:rsidR="003E4A1F" w:rsidRPr="00007381" w:rsidRDefault="003E4A1F" w:rsidP="003E4A1F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A1F" w:rsidRPr="00007381" w:rsidRDefault="003E4A1F" w:rsidP="003E4A1F">
      <w:pPr>
        <w:pStyle w:val="BodyText"/>
        <w:spacing w:before="319"/>
        <w:ind w:right="117" w:firstLine="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381">
        <w:rPr>
          <w:rFonts w:ascii="Times New Roman" w:hAnsi="Times New Roman" w:cs="Times New Roman"/>
          <w:sz w:val="24"/>
          <w:szCs w:val="24"/>
        </w:rPr>
        <w:t>Në pajtim me legjislacionin</w:t>
      </w:r>
      <w:r w:rsidRPr="000073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7381">
        <w:rPr>
          <w:rFonts w:ascii="Times New Roman" w:hAnsi="Times New Roman" w:cs="Times New Roman"/>
          <w:sz w:val="24"/>
          <w:szCs w:val="24"/>
        </w:rPr>
        <w:t>në</w:t>
      </w:r>
      <w:r w:rsidRPr="000073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07381">
        <w:rPr>
          <w:rFonts w:ascii="Times New Roman" w:hAnsi="Times New Roman" w:cs="Times New Roman"/>
          <w:sz w:val="24"/>
          <w:szCs w:val="24"/>
        </w:rPr>
        <w:t>fuqi për parandalimin e korrupsionit i</w:t>
      </w:r>
      <w:r w:rsidRPr="000073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07381">
        <w:rPr>
          <w:rFonts w:ascii="Times New Roman" w:hAnsi="Times New Roman" w:cs="Times New Roman"/>
          <w:sz w:val="24"/>
          <w:szCs w:val="24"/>
        </w:rPr>
        <w:t>cili obligon të gjitha institucionet të zhvillojnë dhe miratojnë planet e integritetit, Ministria e Shëndetësisë</w:t>
      </w:r>
      <w:r w:rsidRPr="0000738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07381">
        <w:rPr>
          <w:rFonts w:ascii="Times New Roman" w:hAnsi="Times New Roman" w:cs="Times New Roman"/>
          <w:sz w:val="24"/>
          <w:szCs w:val="24"/>
        </w:rPr>
        <w:t>ka</w:t>
      </w:r>
      <w:r w:rsidRPr="0000738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07381">
        <w:rPr>
          <w:rFonts w:ascii="Times New Roman" w:hAnsi="Times New Roman" w:cs="Times New Roman"/>
          <w:sz w:val="24"/>
          <w:szCs w:val="24"/>
        </w:rPr>
        <w:t>hartuar dhe miratuar Planin e</w:t>
      </w:r>
      <w:r w:rsidRPr="0000738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07381">
        <w:rPr>
          <w:rFonts w:ascii="Times New Roman" w:hAnsi="Times New Roman" w:cs="Times New Roman"/>
          <w:sz w:val="24"/>
          <w:szCs w:val="24"/>
        </w:rPr>
        <w:t>integritetit për</w:t>
      </w:r>
      <w:r w:rsidRPr="000073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7381">
        <w:rPr>
          <w:rFonts w:ascii="Times New Roman" w:hAnsi="Times New Roman" w:cs="Times New Roman"/>
          <w:sz w:val="24"/>
          <w:szCs w:val="24"/>
        </w:rPr>
        <w:t>periudhën 202</w:t>
      </w:r>
      <w:r w:rsidR="00103196" w:rsidRPr="00007381">
        <w:rPr>
          <w:rFonts w:ascii="Times New Roman" w:hAnsi="Times New Roman" w:cs="Times New Roman"/>
          <w:sz w:val="24"/>
          <w:szCs w:val="24"/>
        </w:rPr>
        <w:t>4</w:t>
      </w:r>
      <w:r w:rsidRPr="00007381">
        <w:rPr>
          <w:rFonts w:ascii="Times New Roman" w:hAnsi="Times New Roman" w:cs="Times New Roman"/>
          <w:sz w:val="24"/>
          <w:szCs w:val="24"/>
        </w:rPr>
        <w:t xml:space="preserve"> -2026.</w:t>
      </w:r>
    </w:p>
    <w:p w:rsidR="003E4A1F" w:rsidRPr="00007381" w:rsidRDefault="003E4A1F" w:rsidP="003E4A1F">
      <w:pPr>
        <w:pStyle w:val="BodyText"/>
        <w:spacing w:before="1" w:line="271" w:lineRule="auto"/>
        <w:ind w:right="120" w:firstLine="12"/>
        <w:jc w:val="both"/>
        <w:rPr>
          <w:rFonts w:ascii="Times New Roman" w:hAnsi="Times New Roman" w:cs="Times New Roman"/>
          <w:sz w:val="24"/>
          <w:szCs w:val="24"/>
        </w:rPr>
      </w:pPr>
      <w:r w:rsidRPr="00007381">
        <w:rPr>
          <w:rFonts w:ascii="Times New Roman" w:hAnsi="Times New Roman" w:cs="Times New Roman"/>
          <w:sz w:val="24"/>
          <w:szCs w:val="24"/>
        </w:rPr>
        <w:t xml:space="preserve">Plani është dokument operativ, që ofron masa të mbështetura tek rreziku për të arritur objektivat e integritetit të Ministrisë së </w:t>
      </w:r>
      <w:r w:rsidRPr="00007381">
        <w:rPr>
          <w:rFonts w:ascii="Times New Roman" w:hAnsi="Times New Roman" w:cs="Times New Roman"/>
          <w:spacing w:val="-2"/>
          <w:sz w:val="24"/>
          <w:szCs w:val="24"/>
        </w:rPr>
        <w:t>Shëndetësisë.</w:t>
      </w:r>
    </w:p>
    <w:p w:rsidR="003E4A1F" w:rsidRPr="00007381" w:rsidRDefault="003E4A1F" w:rsidP="003E4A1F">
      <w:pPr>
        <w:pStyle w:val="BodyText"/>
        <w:spacing w:before="1" w:line="271" w:lineRule="auto"/>
        <w:ind w:right="134" w:firstLine="10"/>
        <w:jc w:val="both"/>
        <w:rPr>
          <w:rFonts w:ascii="Times New Roman" w:hAnsi="Times New Roman" w:cs="Times New Roman"/>
          <w:sz w:val="24"/>
          <w:szCs w:val="24"/>
        </w:rPr>
      </w:pPr>
      <w:r w:rsidRPr="00007381">
        <w:rPr>
          <w:rFonts w:ascii="Times New Roman" w:hAnsi="Times New Roman" w:cs="Times New Roman"/>
          <w:sz w:val="24"/>
          <w:szCs w:val="24"/>
        </w:rPr>
        <w:t>Në Kosovë autoriteti më i lartë për shëndetësi, Ministria e Shëndetësisë,</w:t>
      </w:r>
      <w:r w:rsidRPr="0000738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07381">
        <w:rPr>
          <w:rFonts w:ascii="Times New Roman" w:hAnsi="Times New Roman" w:cs="Times New Roman"/>
          <w:sz w:val="24"/>
          <w:szCs w:val="24"/>
        </w:rPr>
        <w:t>ka përgjegjësinë kryesore për të krijuar politika dhe për të bërë monitorimin e zbatimit të këtyre politikave, që rrjedhimisht do</w:t>
      </w:r>
      <w:r w:rsidRPr="000073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7381">
        <w:rPr>
          <w:rFonts w:ascii="Times New Roman" w:hAnsi="Times New Roman" w:cs="Times New Roman"/>
          <w:sz w:val="24"/>
          <w:szCs w:val="24"/>
        </w:rPr>
        <w:t>të ndikonte edhe në</w:t>
      </w:r>
      <w:r w:rsidRPr="000073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7381">
        <w:rPr>
          <w:rFonts w:ascii="Times New Roman" w:hAnsi="Times New Roman" w:cs="Times New Roman"/>
          <w:sz w:val="24"/>
          <w:szCs w:val="24"/>
        </w:rPr>
        <w:t>parandalimin e korrupsionit potencial korrupsionit dhe sjelljeve tjera jo - profesionale në sektorin e shëndetësisë.</w:t>
      </w:r>
    </w:p>
    <w:p w:rsidR="003E4A1F" w:rsidRPr="00007381" w:rsidRDefault="003E4A1F" w:rsidP="003E4A1F">
      <w:pPr>
        <w:pStyle w:val="BodyText"/>
        <w:spacing w:before="1" w:line="271" w:lineRule="auto"/>
        <w:ind w:right="134" w:firstLine="10"/>
        <w:jc w:val="both"/>
        <w:rPr>
          <w:rFonts w:ascii="Times New Roman" w:hAnsi="Times New Roman" w:cs="Times New Roman"/>
          <w:sz w:val="24"/>
          <w:szCs w:val="24"/>
        </w:rPr>
      </w:pPr>
      <w:r w:rsidRPr="00007381">
        <w:rPr>
          <w:rFonts w:ascii="Times New Roman" w:hAnsi="Times New Roman" w:cs="Times New Roman"/>
          <w:sz w:val="24"/>
          <w:szCs w:val="24"/>
        </w:rPr>
        <w:t>Përmes këtyre politikave e veçanërisht përmes zbatimit të Planit të Integritetit Institucional, Ministria e Shëndetësisë synon, që të arrijë të zvogëlojë rrezikun nga</w:t>
      </w:r>
      <w:r w:rsidRPr="000073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7381">
        <w:rPr>
          <w:rFonts w:ascii="Times New Roman" w:hAnsi="Times New Roman" w:cs="Times New Roman"/>
          <w:sz w:val="24"/>
          <w:szCs w:val="24"/>
        </w:rPr>
        <w:t xml:space="preserve">korrupsioni respektivisht rritjen e përgjegjësisë dhe transparencës në të gjithë sistemin shëndetësor </w:t>
      </w:r>
      <w:r w:rsidR="00103196" w:rsidRPr="00007381">
        <w:rPr>
          <w:rFonts w:ascii="Times New Roman" w:hAnsi="Times New Roman" w:cs="Times New Roman"/>
          <w:sz w:val="24"/>
          <w:szCs w:val="24"/>
        </w:rPr>
        <w:t>p</w:t>
      </w:r>
      <w:r w:rsidR="00007381" w:rsidRPr="00007381">
        <w:rPr>
          <w:rFonts w:ascii="Times New Roman" w:hAnsi="Times New Roman" w:cs="Times New Roman"/>
          <w:sz w:val="24"/>
          <w:szCs w:val="24"/>
        </w:rPr>
        <w:t>ë</w:t>
      </w:r>
      <w:r w:rsidR="00103196" w:rsidRPr="00007381">
        <w:rPr>
          <w:rFonts w:ascii="Times New Roman" w:hAnsi="Times New Roman" w:cs="Times New Roman"/>
          <w:sz w:val="24"/>
          <w:szCs w:val="24"/>
        </w:rPr>
        <w:t>rfshir</w:t>
      </w:r>
      <w:r w:rsidR="00007381" w:rsidRPr="00007381">
        <w:rPr>
          <w:rFonts w:ascii="Times New Roman" w:hAnsi="Times New Roman" w:cs="Times New Roman"/>
          <w:sz w:val="24"/>
          <w:szCs w:val="24"/>
        </w:rPr>
        <w:t>ë</w:t>
      </w:r>
      <w:r w:rsidR="00103196" w:rsidRPr="00007381">
        <w:rPr>
          <w:rFonts w:ascii="Times New Roman" w:hAnsi="Times New Roman" w:cs="Times New Roman"/>
          <w:sz w:val="24"/>
          <w:szCs w:val="24"/>
        </w:rPr>
        <w:t xml:space="preserve"> edhe menaxhimin dhe</w:t>
      </w:r>
      <w:r w:rsidRPr="00007381">
        <w:rPr>
          <w:rFonts w:ascii="Times New Roman" w:hAnsi="Times New Roman" w:cs="Times New Roman"/>
          <w:sz w:val="24"/>
          <w:szCs w:val="24"/>
        </w:rPr>
        <w:t xml:space="preserve"> shpenzimet në sektorin e shëndetësisë.</w:t>
      </w:r>
    </w:p>
    <w:p w:rsidR="003E4A1F" w:rsidRPr="00007381" w:rsidRDefault="003E4A1F" w:rsidP="003E4A1F">
      <w:pPr>
        <w:pStyle w:val="BodyText"/>
        <w:ind w:right="144" w:hanging="2"/>
        <w:jc w:val="both"/>
        <w:rPr>
          <w:rFonts w:ascii="Times New Roman" w:hAnsi="Times New Roman" w:cs="Times New Roman"/>
          <w:sz w:val="24"/>
          <w:szCs w:val="24"/>
        </w:rPr>
      </w:pPr>
      <w:r w:rsidRPr="00007381">
        <w:rPr>
          <w:rFonts w:ascii="Times New Roman" w:hAnsi="Times New Roman" w:cs="Times New Roman"/>
          <w:sz w:val="24"/>
          <w:szCs w:val="24"/>
        </w:rPr>
        <w:t>Përmes Planit</w:t>
      </w:r>
      <w:r w:rsidRPr="00007381">
        <w:rPr>
          <w:rFonts w:ascii="Times New Roman" w:hAnsi="Times New Roman" w:cs="Times New Roman"/>
          <w:spacing w:val="-15"/>
          <w:sz w:val="24"/>
          <w:szCs w:val="24"/>
        </w:rPr>
        <w:t xml:space="preserve"> të </w:t>
      </w:r>
      <w:r w:rsidRPr="00007381">
        <w:rPr>
          <w:rFonts w:ascii="Times New Roman" w:hAnsi="Times New Roman" w:cs="Times New Roman"/>
          <w:sz w:val="24"/>
          <w:szCs w:val="24"/>
        </w:rPr>
        <w:t>integritetit</w:t>
      </w:r>
      <w:r w:rsidRPr="0000738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07381">
        <w:rPr>
          <w:rFonts w:ascii="Times New Roman" w:hAnsi="Times New Roman" w:cs="Times New Roman"/>
          <w:sz w:val="24"/>
          <w:szCs w:val="24"/>
        </w:rPr>
        <w:t>Ministria</w:t>
      </w:r>
      <w:r w:rsidRPr="0000738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07381">
        <w:rPr>
          <w:rFonts w:ascii="Times New Roman" w:hAnsi="Times New Roman" w:cs="Times New Roman"/>
          <w:sz w:val="24"/>
          <w:szCs w:val="24"/>
        </w:rPr>
        <w:t>e</w:t>
      </w:r>
      <w:r w:rsidRPr="0000738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07381">
        <w:rPr>
          <w:rFonts w:ascii="Times New Roman" w:hAnsi="Times New Roman" w:cs="Times New Roman"/>
          <w:sz w:val="24"/>
          <w:szCs w:val="24"/>
        </w:rPr>
        <w:t>Shëndetësisë</w:t>
      </w:r>
      <w:r w:rsidRPr="0000738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07381">
        <w:rPr>
          <w:rFonts w:ascii="Times New Roman" w:hAnsi="Times New Roman" w:cs="Times New Roman"/>
          <w:sz w:val="24"/>
          <w:szCs w:val="24"/>
        </w:rPr>
        <w:t>ka</w:t>
      </w:r>
      <w:r w:rsidRPr="0000738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07381">
        <w:rPr>
          <w:rFonts w:ascii="Times New Roman" w:hAnsi="Times New Roman" w:cs="Times New Roman"/>
          <w:sz w:val="24"/>
          <w:szCs w:val="24"/>
        </w:rPr>
        <w:t>shtuar</w:t>
      </w:r>
      <w:r w:rsidRPr="0000738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07381">
        <w:rPr>
          <w:rFonts w:ascii="Times New Roman" w:hAnsi="Times New Roman" w:cs="Times New Roman"/>
          <w:sz w:val="24"/>
          <w:szCs w:val="24"/>
        </w:rPr>
        <w:t>dhe</w:t>
      </w:r>
      <w:r w:rsidRPr="0000738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07381">
        <w:rPr>
          <w:rFonts w:ascii="Times New Roman" w:hAnsi="Times New Roman" w:cs="Times New Roman"/>
          <w:sz w:val="24"/>
          <w:szCs w:val="24"/>
        </w:rPr>
        <w:t>fuqizuar</w:t>
      </w:r>
      <w:r w:rsidRPr="0000738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07381">
        <w:rPr>
          <w:rFonts w:ascii="Times New Roman" w:hAnsi="Times New Roman" w:cs="Times New Roman"/>
          <w:sz w:val="24"/>
          <w:szCs w:val="24"/>
        </w:rPr>
        <w:t>kontrollet ekzistuese operative</w:t>
      </w:r>
      <w:r w:rsidRPr="000073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7381">
        <w:rPr>
          <w:rFonts w:ascii="Times New Roman" w:hAnsi="Times New Roman" w:cs="Times New Roman"/>
          <w:sz w:val="24"/>
          <w:szCs w:val="24"/>
        </w:rPr>
        <w:t>në</w:t>
      </w:r>
      <w:r w:rsidRPr="0000738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07381">
        <w:rPr>
          <w:rFonts w:ascii="Times New Roman" w:hAnsi="Times New Roman" w:cs="Times New Roman"/>
          <w:sz w:val="24"/>
          <w:szCs w:val="24"/>
        </w:rPr>
        <w:t>të</w:t>
      </w:r>
      <w:r w:rsidRPr="0000738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07381">
        <w:rPr>
          <w:rFonts w:ascii="Times New Roman" w:hAnsi="Times New Roman" w:cs="Times New Roman"/>
          <w:sz w:val="24"/>
          <w:szCs w:val="24"/>
        </w:rPr>
        <w:t>gjitha</w:t>
      </w:r>
      <w:r w:rsidRPr="0000738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07381">
        <w:rPr>
          <w:rFonts w:ascii="Times New Roman" w:hAnsi="Times New Roman" w:cs="Times New Roman"/>
          <w:sz w:val="24"/>
          <w:szCs w:val="24"/>
        </w:rPr>
        <w:t>aktivitetet,</w:t>
      </w:r>
      <w:r w:rsidRPr="0000738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07381">
        <w:rPr>
          <w:rFonts w:ascii="Times New Roman" w:hAnsi="Times New Roman" w:cs="Times New Roman"/>
          <w:sz w:val="24"/>
          <w:szCs w:val="24"/>
        </w:rPr>
        <w:t>me theks të veçantë në procesin e prokurimit dhe transparencës së këtyre aktiviteteve.</w:t>
      </w:r>
    </w:p>
    <w:p w:rsidR="003E4A1F" w:rsidRPr="00007381" w:rsidRDefault="003E4A1F" w:rsidP="003E4A1F">
      <w:pPr>
        <w:pStyle w:val="BodyText"/>
        <w:spacing w:line="271" w:lineRule="auto"/>
        <w:ind w:right="139" w:firstLine="3"/>
        <w:jc w:val="both"/>
        <w:rPr>
          <w:rFonts w:ascii="Times New Roman" w:hAnsi="Times New Roman" w:cs="Times New Roman"/>
          <w:sz w:val="24"/>
          <w:szCs w:val="24"/>
        </w:rPr>
      </w:pPr>
      <w:r w:rsidRPr="00007381">
        <w:rPr>
          <w:rFonts w:ascii="Times New Roman" w:hAnsi="Times New Roman" w:cs="Times New Roman"/>
          <w:sz w:val="24"/>
          <w:szCs w:val="24"/>
        </w:rPr>
        <w:t xml:space="preserve">Ministria e Shëndetësisë duke u përkushtuar në zbatimin e legjislacionit dhe në aktivitetet që adreson Plani i Integriteti Institucional ka emëruar edhe mekanizmat, që kanë për detyrë mbikëqyrjen e këtij procesi, raportimin e tyre tek </w:t>
      </w:r>
      <w:proofErr w:type="spellStart"/>
      <w:r w:rsidRPr="00007381">
        <w:rPr>
          <w:rFonts w:ascii="Times New Roman" w:hAnsi="Times New Roman" w:cs="Times New Roman"/>
          <w:sz w:val="24"/>
          <w:szCs w:val="24"/>
        </w:rPr>
        <w:t>akterët</w:t>
      </w:r>
      <w:proofErr w:type="spellEnd"/>
      <w:r w:rsidRPr="00007381">
        <w:rPr>
          <w:rFonts w:ascii="Times New Roman" w:hAnsi="Times New Roman" w:cs="Times New Roman"/>
          <w:sz w:val="24"/>
          <w:szCs w:val="24"/>
        </w:rPr>
        <w:t xml:space="preserve"> kompetent, respektivisht eliminimin e rreziqeve të mundshme në bazë të </w:t>
      </w:r>
      <w:proofErr w:type="spellStart"/>
      <w:r w:rsidRPr="0000738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07381">
        <w:rPr>
          <w:rFonts w:ascii="Times New Roman" w:hAnsi="Times New Roman" w:cs="Times New Roman"/>
          <w:sz w:val="24"/>
          <w:szCs w:val="24"/>
        </w:rPr>
        <w:t xml:space="preserve"> gjeturave përgjatë procesit të mbikëqyrjes.</w:t>
      </w:r>
    </w:p>
    <w:p w:rsidR="003E4A1F" w:rsidRPr="00007381" w:rsidRDefault="003E4A1F" w:rsidP="003E4A1F">
      <w:pPr>
        <w:pStyle w:val="BodyText"/>
        <w:spacing w:line="271" w:lineRule="auto"/>
        <w:ind w:right="139" w:firstLine="3"/>
        <w:jc w:val="both"/>
        <w:rPr>
          <w:rFonts w:ascii="Times New Roman" w:hAnsi="Times New Roman" w:cs="Times New Roman"/>
          <w:sz w:val="24"/>
          <w:szCs w:val="24"/>
        </w:rPr>
      </w:pPr>
      <w:r w:rsidRPr="00007381">
        <w:rPr>
          <w:rFonts w:ascii="Times New Roman" w:hAnsi="Times New Roman" w:cs="Times New Roman"/>
          <w:sz w:val="24"/>
          <w:szCs w:val="24"/>
        </w:rPr>
        <w:t>Plani i integritetit ka paraparë pesë (5) fusha të përgjithshme të rrezikut dhe tre (3) fusha  specifike të rrezikut të përcaktuara si në vijim:</w:t>
      </w:r>
    </w:p>
    <w:p w:rsidR="003E4A1F" w:rsidRPr="00007381" w:rsidRDefault="003E4A1F" w:rsidP="003E4A1F">
      <w:pPr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381">
        <w:rPr>
          <w:rFonts w:ascii="Times New Roman" w:hAnsi="Times New Roman" w:cs="Times New Roman"/>
          <w:b/>
          <w:sz w:val="24"/>
          <w:szCs w:val="24"/>
        </w:rPr>
        <w:t xml:space="preserve">Fushat e përgjithshme të rrezikut: </w:t>
      </w:r>
    </w:p>
    <w:p w:rsidR="003E4A1F" w:rsidRPr="00007381" w:rsidRDefault="003E4A1F" w:rsidP="003E4A1F">
      <w:pPr>
        <w:pStyle w:val="ListParagraph"/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spacing w:before="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07381">
        <w:rPr>
          <w:rFonts w:ascii="Times New Roman" w:hAnsi="Times New Roman" w:cs="Times New Roman"/>
          <w:sz w:val="24"/>
          <w:szCs w:val="24"/>
        </w:rPr>
        <w:t>Drejtimi dhe menaxhimi;</w:t>
      </w:r>
    </w:p>
    <w:p w:rsidR="003E4A1F" w:rsidRPr="00007381" w:rsidRDefault="003E4A1F" w:rsidP="003E4A1F">
      <w:pPr>
        <w:pStyle w:val="ListParagraph"/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spacing w:before="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07381">
        <w:rPr>
          <w:rFonts w:ascii="Times New Roman" w:hAnsi="Times New Roman" w:cs="Times New Roman"/>
          <w:sz w:val="24"/>
          <w:szCs w:val="24"/>
        </w:rPr>
        <w:t>Planifikimi dhe menaxhimi financiar;</w:t>
      </w:r>
    </w:p>
    <w:p w:rsidR="003E4A1F" w:rsidRPr="00007381" w:rsidRDefault="003E4A1F" w:rsidP="003E4A1F">
      <w:pPr>
        <w:pStyle w:val="ListParagraph"/>
        <w:numPr>
          <w:ilvl w:val="0"/>
          <w:numId w:val="3"/>
        </w:numPr>
        <w:spacing w:before="0" w:after="160" w:line="259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7381">
        <w:rPr>
          <w:rFonts w:ascii="Times New Roman" w:hAnsi="Times New Roman" w:cs="Times New Roman"/>
          <w:sz w:val="24"/>
          <w:szCs w:val="24"/>
        </w:rPr>
        <w:t>Politika e burimeve njerëzore, sjellja etike dhe profesionale e të punësuarve;</w:t>
      </w:r>
    </w:p>
    <w:p w:rsidR="003E4A1F" w:rsidRPr="00007381" w:rsidRDefault="003E4A1F" w:rsidP="003E4A1F">
      <w:pPr>
        <w:pStyle w:val="ListParagraph"/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spacing w:before="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07381">
        <w:rPr>
          <w:rFonts w:ascii="Times New Roman" w:hAnsi="Times New Roman" w:cs="Times New Roman"/>
          <w:sz w:val="24"/>
          <w:szCs w:val="24"/>
        </w:rPr>
        <w:t>Komunikimi dhe informimi;</w:t>
      </w:r>
    </w:p>
    <w:p w:rsidR="003E4A1F" w:rsidRPr="00007381" w:rsidRDefault="003E4A1F" w:rsidP="003E4A1F">
      <w:pPr>
        <w:pStyle w:val="ListParagraph"/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spacing w:before="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07381">
        <w:rPr>
          <w:rFonts w:ascii="Times New Roman" w:hAnsi="Times New Roman" w:cs="Times New Roman"/>
          <w:sz w:val="24"/>
          <w:szCs w:val="24"/>
        </w:rPr>
        <w:t>Ruajtja dhe siguria e të dhënave;</w:t>
      </w:r>
    </w:p>
    <w:p w:rsidR="003E4A1F" w:rsidRPr="00007381" w:rsidRDefault="003E4A1F" w:rsidP="003E4A1F">
      <w:pPr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381">
        <w:rPr>
          <w:rFonts w:ascii="Times New Roman" w:hAnsi="Times New Roman" w:cs="Times New Roman"/>
          <w:b/>
          <w:sz w:val="24"/>
          <w:szCs w:val="24"/>
        </w:rPr>
        <w:t xml:space="preserve">Fushat e specifike të rrezikut janë: </w:t>
      </w:r>
    </w:p>
    <w:p w:rsidR="003E4A1F" w:rsidRPr="00007381" w:rsidRDefault="003E4A1F" w:rsidP="003E4A1F">
      <w:pPr>
        <w:pStyle w:val="ListParagraph"/>
        <w:numPr>
          <w:ilvl w:val="0"/>
          <w:numId w:val="4"/>
        </w:numPr>
        <w:spacing w:before="0" w:after="160" w:line="259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7381">
        <w:rPr>
          <w:rFonts w:ascii="Times New Roman" w:hAnsi="Times New Roman" w:cs="Times New Roman"/>
          <w:sz w:val="24"/>
          <w:szCs w:val="24"/>
        </w:rPr>
        <w:t>Prokurimi publik dhe menaxhimi i projekteve/kontratave;</w:t>
      </w:r>
    </w:p>
    <w:p w:rsidR="003E4A1F" w:rsidRPr="00007381" w:rsidRDefault="003E4A1F" w:rsidP="003E4A1F">
      <w:pPr>
        <w:pStyle w:val="ListParagraph"/>
        <w:numPr>
          <w:ilvl w:val="0"/>
          <w:numId w:val="4"/>
        </w:numPr>
        <w:spacing w:before="0" w:after="160" w:line="259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7381">
        <w:rPr>
          <w:rFonts w:ascii="Times New Roman" w:hAnsi="Times New Roman" w:cs="Times New Roman"/>
          <w:sz w:val="24"/>
          <w:szCs w:val="24"/>
        </w:rPr>
        <w:t xml:space="preserve">Furnizimi me barna; </w:t>
      </w:r>
    </w:p>
    <w:p w:rsidR="003E4A1F" w:rsidRPr="00007381" w:rsidRDefault="003E4A1F" w:rsidP="003E4A1F">
      <w:pPr>
        <w:pStyle w:val="ListParagraph"/>
        <w:numPr>
          <w:ilvl w:val="0"/>
          <w:numId w:val="4"/>
        </w:numPr>
        <w:tabs>
          <w:tab w:val="left" w:pos="1260"/>
        </w:tabs>
        <w:autoSpaceDE w:val="0"/>
        <w:autoSpaceDN w:val="0"/>
        <w:adjustRightInd w:val="0"/>
        <w:spacing w:before="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07381">
        <w:rPr>
          <w:rFonts w:ascii="Times New Roman" w:hAnsi="Times New Roman" w:cs="Times New Roman"/>
          <w:sz w:val="24"/>
          <w:szCs w:val="24"/>
        </w:rPr>
        <w:t xml:space="preserve">Inspektimet. </w:t>
      </w:r>
    </w:p>
    <w:p w:rsidR="003E4A1F" w:rsidRPr="00007381" w:rsidRDefault="003E4A1F" w:rsidP="003E4A1F">
      <w:pPr>
        <w:pStyle w:val="BodyText"/>
        <w:spacing w:line="271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 w:rsidRPr="00007381">
        <w:rPr>
          <w:rFonts w:ascii="Times New Roman" w:hAnsi="Times New Roman" w:cs="Times New Roman"/>
          <w:sz w:val="24"/>
          <w:szCs w:val="24"/>
        </w:rPr>
        <w:t>Në bazë të këtyre fushave të rrezikshmërisë</w:t>
      </w:r>
      <w:r w:rsidR="00103196" w:rsidRPr="00007381">
        <w:rPr>
          <w:rFonts w:ascii="Times New Roman" w:hAnsi="Times New Roman" w:cs="Times New Roman"/>
          <w:sz w:val="24"/>
          <w:szCs w:val="24"/>
        </w:rPr>
        <w:t>, jan</w:t>
      </w:r>
      <w:r w:rsidR="00CF72AF" w:rsidRPr="00007381">
        <w:rPr>
          <w:rFonts w:ascii="Times New Roman" w:hAnsi="Times New Roman" w:cs="Times New Roman"/>
          <w:sz w:val="24"/>
          <w:szCs w:val="24"/>
        </w:rPr>
        <w:t>ë</w:t>
      </w:r>
      <w:r w:rsidR="00103196" w:rsidRPr="00007381">
        <w:rPr>
          <w:rFonts w:ascii="Times New Roman" w:hAnsi="Times New Roman" w:cs="Times New Roman"/>
          <w:sz w:val="24"/>
          <w:szCs w:val="24"/>
        </w:rPr>
        <w:t xml:space="preserve"> p</w:t>
      </w:r>
      <w:r w:rsidR="00CF72AF" w:rsidRPr="00007381">
        <w:rPr>
          <w:rFonts w:ascii="Times New Roman" w:hAnsi="Times New Roman" w:cs="Times New Roman"/>
          <w:sz w:val="24"/>
          <w:szCs w:val="24"/>
        </w:rPr>
        <w:t>ë</w:t>
      </w:r>
      <w:r w:rsidR="00103196" w:rsidRPr="00007381">
        <w:rPr>
          <w:rFonts w:ascii="Times New Roman" w:hAnsi="Times New Roman" w:cs="Times New Roman"/>
          <w:sz w:val="24"/>
          <w:szCs w:val="24"/>
        </w:rPr>
        <w:t xml:space="preserve">rcaktuar </w:t>
      </w:r>
      <w:r w:rsidR="00CF72AF" w:rsidRPr="00007381">
        <w:rPr>
          <w:rFonts w:ascii="Times New Roman" w:hAnsi="Times New Roman" w:cs="Times New Roman"/>
          <w:sz w:val="24"/>
          <w:szCs w:val="24"/>
        </w:rPr>
        <w:t>tridhjetetetë</w:t>
      </w:r>
      <w:r w:rsidR="00103196" w:rsidRPr="00007381">
        <w:rPr>
          <w:rFonts w:ascii="Times New Roman" w:hAnsi="Times New Roman" w:cs="Times New Roman"/>
          <w:sz w:val="24"/>
          <w:szCs w:val="24"/>
        </w:rPr>
        <w:t xml:space="preserve"> (38)</w:t>
      </w:r>
      <w:r w:rsidRPr="00007381">
        <w:rPr>
          <w:rFonts w:ascii="Times New Roman" w:hAnsi="Times New Roman" w:cs="Times New Roman"/>
          <w:sz w:val="24"/>
          <w:szCs w:val="24"/>
        </w:rPr>
        <w:t xml:space="preserve"> përshkrim</w:t>
      </w:r>
      <w:r w:rsidR="00103196" w:rsidRPr="00007381">
        <w:rPr>
          <w:rFonts w:ascii="Times New Roman" w:hAnsi="Times New Roman" w:cs="Times New Roman"/>
          <w:sz w:val="24"/>
          <w:szCs w:val="24"/>
        </w:rPr>
        <w:t>e t</w:t>
      </w:r>
      <w:r w:rsidR="00CF72AF" w:rsidRPr="00007381">
        <w:rPr>
          <w:rFonts w:ascii="Times New Roman" w:hAnsi="Times New Roman" w:cs="Times New Roman"/>
          <w:sz w:val="24"/>
          <w:szCs w:val="24"/>
        </w:rPr>
        <w:t>ë</w:t>
      </w:r>
      <w:r w:rsidRPr="00007381">
        <w:rPr>
          <w:rFonts w:ascii="Times New Roman" w:hAnsi="Times New Roman" w:cs="Times New Roman"/>
          <w:sz w:val="24"/>
          <w:szCs w:val="24"/>
        </w:rPr>
        <w:t xml:space="preserve"> rrezikut</w:t>
      </w:r>
      <w:r w:rsidR="00103196" w:rsidRPr="00007381">
        <w:rPr>
          <w:rFonts w:ascii="Times New Roman" w:hAnsi="Times New Roman" w:cs="Times New Roman"/>
          <w:sz w:val="24"/>
          <w:szCs w:val="24"/>
        </w:rPr>
        <w:t>, n</w:t>
      </w:r>
      <w:r w:rsidR="00CF72AF" w:rsidRPr="00007381">
        <w:rPr>
          <w:rFonts w:ascii="Times New Roman" w:hAnsi="Times New Roman" w:cs="Times New Roman"/>
          <w:sz w:val="24"/>
          <w:szCs w:val="24"/>
        </w:rPr>
        <w:t>ë</w:t>
      </w:r>
      <w:r w:rsidR="00103196" w:rsidRPr="00007381">
        <w:rPr>
          <w:rFonts w:ascii="Times New Roman" w:hAnsi="Times New Roman" w:cs="Times New Roman"/>
          <w:sz w:val="24"/>
          <w:szCs w:val="24"/>
        </w:rPr>
        <w:t xml:space="preserve"> kuad</w:t>
      </w:r>
      <w:r w:rsidR="00CF72AF" w:rsidRPr="00007381">
        <w:rPr>
          <w:rFonts w:ascii="Times New Roman" w:hAnsi="Times New Roman" w:cs="Times New Roman"/>
          <w:sz w:val="24"/>
          <w:szCs w:val="24"/>
        </w:rPr>
        <w:t>ë</w:t>
      </w:r>
      <w:r w:rsidR="00103196" w:rsidRPr="00007381">
        <w:rPr>
          <w:rFonts w:ascii="Times New Roman" w:hAnsi="Times New Roman" w:cs="Times New Roman"/>
          <w:sz w:val="24"/>
          <w:szCs w:val="24"/>
        </w:rPr>
        <w:t>r t</w:t>
      </w:r>
      <w:r w:rsidR="00CF72AF" w:rsidRPr="00007381">
        <w:rPr>
          <w:rFonts w:ascii="Times New Roman" w:hAnsi="Times New Roman" w:cs="Times New Roman"/>
          <w:sz w:val="24"/>
          <w:szCs w:val="24"/>
        </w:rPr>
        <w:t>ë</w:t>
      </w:r>
      <w:r w:rsidR="00103196" w:rsidRPr="00007381">
        <w:rPr>
          <w:rFonts w:ascii="Times New Roman" w:hAnsi="Times New Roman" w:cs="Times New Roman"/>
          <w:sz w:val="24"/>
          <w:szCs w:val="24"/>
        </w:rPr>
        <w:t xml:space="preserve"> </w:t>
      </w:r>
      <w:r w:rsidRPr="00007381">
        <w:rPr>
          <w:rFonts w:ascii="Times New Roman" w:hAnsi="Times New Roman" w:cs="Times New Roman"/>
          <w:sz w:val="24"/>
          <w:szCs w:val="24"/>
        </w:rPr>
        <w:t>masa</w:t>
      </w:r>
      <w:r w:rsidR="00103196" w:rsidRPr="00007381">
        <w:rPr>
          <w:rFonts w:ascii="Times New Roman" w:hAnsi="Times New Roman" w:cs="Times New Roman"/>
          <w:sz w:val="24"/>
          <w:szCs w:val="24"/>
        </w:rPr>
        <w:t>ve</w:t>
      </w:r>
      <w:r w:rsidRPr="00007381">
        <w:rPr>
          <w:rFonts w:ascii="Times New Roman" w:hAnsi="Times New Roman" w:cs="Times New Roman"/>
          <w:sz w:val="24"/>
          <w:szCs w:val="24"/>
        </w:rPr>
        <w:t xml:space="preserve"> ekzistuese të kontrollit</w:t>
      </w:r>
      <w:r w:rsidR="00103196" w:rsidRPr="00007381">
        <w:rPr>
          <w:rFonts w:ascii="Times New Roman" w:hAnsi="Times New Roman" w:cs="Times New Roman"/>
          <w:sz w:val="24"/>
          <w:szCs w:val="24"/>
        </w:rPr>
        <w:t xml:space="preserve"> jan</w:t>
      </w:r>
      <w:r w:rsidR="00CF72AF" w:rsidRPr="00007381">
        <w:rPr>
          <w:rFonts w:ascii="Times New Roman" w:hAnsi="Times New Roman" w:cs="Times New Roman"/>
          <w:sz w:val="24"/>
          <w:szCs w:val="24"/>
        </w:rPr>
        <w:t>ë</w:t>
      </w:r>
      <w:r w:rsidR="00103196" w:rsidRPr="00007381">
        <w:rPr>
          <w:rFonts w:ascii="Times New Roman" w:hAnsi="Times New Roman" w:cs="Times New Roman"/>
          <w:sz w:val="24"/>
          <w:szCs w:val="24"/>
        </w:rPr>
        <w:t xml:space="preserve"> parapar</w:t>
      </w:r>
      <w:r w:rsidR="00CF72AF" w:rsidRPr="00007381">
        <w:rPr>
          <w:rFonts w:ascii="Times New Roman" w:hAnsi="Times New Roman" w:cs="Times New Roman"/>
          <w:sz w:val="24"/>
          <w:szCs w:val="24"/>
        </w:rPr>
        <w:t>ë</w:t>
      </w:r>
      <w:r w:rsidR="00103196" w:rsidRPr="00007381">
        <w:rPr>
          <w:rFonts w:ascii="Times New Roman" w:hAnsi="Times New Roman" w:cs="Times New Roman"/>
          <w:sz w:val="24"/>
          <w:szCs w:val="24"/>
        </w:rPr>
        <w:t xml:space="preserve"> </w:t>
      </w:r>
      <w:r w:rsidR="00CF72AF" w:rsidRPr="00007381">
        <w:rPr>
          <w:rFonts w:ascii="Times New Roman" w:hAnsi="Times New Roman" w:cs="Times New Roman"/>
          <w:sz w:val="24"/>
          <w:szCs w:val="24"/>
        </w:rPr>
        <w:t>pesëdhjetenëntë</w:t>
      </w:r>
      <w:r w:rsidR="00103196" w:rsidRPr="00007381">
        <w:rPr>
          <w:rFonts w:ascii="Times New Roman" w:hAnsi="Times New Roman" w:cs="Times New Roman"/>
          <w:sz w:val="24"/>
          <w:szCs w:val="24"/>
        </w:rPr>
        <w:t xml:space="preserve"> </w:t>
      </w:r>
      <w:r w:rsidR="00D41554" w:rsidRPr="00007381">
        <w:rPr>
          <w:rFonts w:ascii="Times New Roman" w:hAnsi="Times New Roman" w:cs="Times New Roman"/>
          <w:sz w:val="24"/>
          <w:szCs w:val="24"/>
        </w:rPr>
        <w:t xml:space="preserve">(59) </w:t>
      </w:r>
      <w:r w:rsidR="00103196" w:rsidRPr="00007381">
        <w:rPr>
          <w:rFonts w:ascii="Times New Roman" w:hAnsi="Times New Roman" w:cs="Times New Roman"/>
          <w:sz w:val="24"/>
          <w:szCs w:val="24"/>
        </w:rPr>
        <w:t>t</w:t>
      </w:r>
      <w:r w:rsidR="00CF72AF" w:rsidRPr="00007381">
        <w:rPr>
          <w:rFonts w:ascii="Times New Roman" w:hAnsi="Times New Roman" w:cs="Times New Roman"/>
          <w:sz w:val="24"/>
          <w:szCs w:val="24"/>
        </w:rPr>
        <w:t>ë</w:t>
      </w:r>
      <w:r w:rsidR="00103196" w:rsidRPr="00007381">
        <w:rPr>
          <w:rFonts w:ascii="Times New Roman" w:hAnsi="Times New Roman" w:cs="Times New Roman"/>
          <w:sz w:val="24"/>
          <w:szCs w:val="24"/>
        </w:rPr>
        <w:t xml:space="preserve"> tilla, respektivisht po aq</w:t>
      </w:r>
      <w:r w:rsidR="00D41554" w:rsidRPr="00007381">
        <w:rPr>
          <w:rFonts w:ascii="Times New Roman" w:hAnsi="Times New Roman" w:cs="Times New Roman"/>
          <w:sz w:val="24"/>
          <w:szCs w:val="24"/>
        </w:rPr>
        <w:t xml:space="preserve">, </w:t>
      </w:r>
      <w:r w:rsidR="00CF72AF" w:rsidRPr="00007381">
        <w:rPr>
          <w:rFonts w:ascii="Times New Roman" w:hAnsi="Times New Roman" w:cs="Times New Roman"/>
          <w:sz w:val="24"/>
          <w:szCs w:val="24"/>
        </w:rPr>
        <w:t>pesëdhjetenëntë</w:t>
      </w:r>
      <w:r w:rsidR="00103196" w:rsidRPr="00007381">
        <w:rPr>
          <w:rFonts w:ascii="Times New Roman" w:hAnsi="Times New Roman" w:cs="Times New Roman"/>
          <w:sz w:val="24"/>
          <w:szCs w:val="24"/>
        </w:rPr>
        <w:t xml:space="preserve"> </w:t>
      </w:r>
      <w:r w:rsidR="00D41554" w:rsidRPr="00007381">
        <w:rPr>
          <w:rFonts w:ascii="Times New Roman" w:hAnsi="Times New Roman" w:cs="Times New Roman"/>
          <w:sz w:val="24"/>
          <w:szCs w:val="24"/>
        </w:rPr>
        <w:t xml:space="preserve">(59) </w:t>
      </w:r>
      <w:r w:rsidR="00103196" w:rsidRPr="00007381">
        <w:rPr>
          <w:rFonts w:ascii="Times New Roman" w:hAnsi="Times New Roman" w:cs="Times New Roman"/>
          <w:sz w:val="24"/>
          <w:szCs w:val="24"/>
        </w:rPr>
        <w:t>masa t</w:t>
      </w:r>
      <w:r w:rsidR="00CF72AF" w:rsidRPr="00007381">
        <w:rPr>
          <w:rFonts w:ascii="Times New Roman" w:hAnsi="Times New Roman" w:cs="Times New Roman"/>
          <w:sz w:val="24"/>
          <w:szCs w:val="24"/>
        </w:rPr>
        <w:t>ë</w:t>
      </w:r>
      <w:r w:rsidR="00103196" w:rsidRPr="00007381">
        <w:rPr>
          <w:rFonts w:ascii="Times New Roman" w:hAnsi="Times New Roman" w:cs="Times New Roman"/>
          <w:sz w:val="24"/>
          <w:szCs w:val="24"/>
        </w:rPr>
        <w:t xml:space="preserve"> propozuara p</w:t>
      </w:r>
      <w:r w:rsidR="00CF72AF" w:rsidRPr="00007381">
        <w:rPr>
          <w:rFonts w:ascii="Times New Roman" w:hAnsi="Times New Roman" w:cs="Times New Roman"/>
          <w:sz w:val="24"/>
          <w:szCs w:val="24"/>
        </w:rPr>
        <w:t>ë</w:t>
      </w:r>
      <w:r w:rsidR="00103196" w:rsidRPr="00007381">
        <w:rPr>
          <w:rFonts w:ascii="Times New Roman" w:hAnsi="Times New Roman" w:cs="Times New Roman"/>
          <w:sz w:val="24"/>
          <w:szCs w:val="24"/>
        </w:rPr>
        <w:t>r zvog</w:t>
      </w:r>
      <w:r w:rsidR="00CF72AF" w:rsidRPr="00007381">
        <w:rPr>
          <w:rFonts w:ascii="Times New Roman" w:hAnsi="Times New Roman" w:cs="Times New Roman"/>
          <w:sz w:val="24"/>
          <w:szCs w:val="24"/>
        </w:rPr>
        <w:t>ë</w:t>
      </w:r>
      <w:r w:rsidR="00103196" w:rsidRPr="00007381">
        <w:rPr>
          <w:rFonts w:ascii="Times New Roman" w:hAnsi="Times New Roman" w:cs="Times New Roman"/>
          <w:sz w:val="24"/>
          <w:szCs w:val="24"/>
        </w:rPr>
        <w:t>limin apo eliminimin e rreziqeve</w:t>
      </w:r>
      <w:r w:rsidRPr="00007381">
        <w:rPr>
          <w:rFonts w:ascii="Times New Roman" w:hAnsi="Times New Roman" w:cs="Times New Roman"/>
          <w:sz w:val="24"/>
          <w:szCs w:val="24"/>
        </w:rPr>
        <w:t>.</w:t>
      </w:r>
    </w:p>
    <w:p w:rsidR="003E4A1F" w:rsidRPr="00007381" w:rsidRDefault="003E4A1F" w:rsidP="003E4A1F">
      <w:pPr>
        <w:pStyle w:val="BodyText"/>
        <w:spacing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81">
        <w:rPr>
          <w:rFonts w:ascii="Times New Roman" w:hAnsi="Times New Roman" w:cs="Times New Roman"/>
          <w:sz w:val="24"/>
          <w:szCs w:val="24"/>
        </w:rPr>
        <w:t xml:space="preserve">Krejt ky proces është paraparë të përcillet në faza të caktuara nga Koordinatori përgjegjës i emëruar nga Sekretari i Përgjithshëm. Në kuadër të këtij obligimi është përgatitur </w:t>
      </w:r>
      <w:r w:rsidR="00CB2BB5" w:rsidRPr="00007381">
        <w:rPr>
          <w:rFonts w:ascii="Times New Roman" w:hAnsi="Times New Roman" w:cs="Times New Roman"/>
          <w:sz w:val="24"/>
          <w:szCs w:val="24"/>
        </w:rPr>
        <w:t>edhe ky raport</w:t>
      </w:r>
      <w:r w:rsidRPr="00007381">
        <w:rPr>
          <w:rFonts w:ascii="Times New Roman" w:hAnsi="Times New Roman" w:cs="Times New Roman"/>
          <w:sz w:val="24"/>
          <w:szCs w:val="24"/>
        </w:rPr>
        <w:t xml:space="preserve">, </w:t>
      </w:r>
      <w:r w:rsidRPr="00007381">
        <w:rPr>
          <w:rFonts w:ascii="Times New Roman" w:hAnsi="Times New Roman" w:cs="Times New Roman"/>
          <w:sz w:val="24"/>
          <w:szCs w:val="24"/>
        </w:rPr>
        <w:lastRenderedPageBreak/>
        <w:t>ku janë bërë hapa të duhur në drejtim të zvogëlimit të rreziqeve respektivisht është rritur dukshëm transparenca në të gjitha këto fusha</w:t>
      </w:r>
      <w:r w:rsidR="00CB2BB5" w:rsidRPr="00007381">
        <w:rPr>
          <w:rFonts w:ascii="Times New Roman" w:hAnsi="Times New Roman" w:cs="Times New Roman"/>
          <w:sz w:val="24"/>
          <w:szCs w:val="24"/>
        </w:rPr>
        <w:t>,</w:t>
      </w:r>
      <w:r w:rsidRPr="00007381">
        <w:rPr>
          <w:rFonts w:ascii="Times New Roman" w:hAnsi="Times New Roman" w:cs="Times New Roman"/>
          <w:sz w:val="24"/>
          <w:szCs w:val="24"/>
        </w:rPr>
        <w:t xml:space="preserve"> përkatësisht masa të përcaktuara në Planin e integritetit institucional të MSh.</w:t>
      </w:r>
    </w:p>
    <w:p w:rsidR="003E4A1F" w:rsidRPr="00007381" w:rsidRDefault="003E4A1F" w:rsidP="003E4A1F">
      <w:pPr>
        <w:pStyle w:val="BodyText"/>
        <w:spacing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81">
        <w:rPr>
          <w:rFonts w:ascii="Times New Roman" w:hAnsi="Times New Roman" w:cs="Times New Roman"/>
          <w:sz w:val="24"/>
          <w:szCs w:val="24"/>
        </w:rPr>
        <w:t>Monitorimi i zbatimit të masave të propozuar është realizuar duke kërkuar raport të zbatimit të tyre nga vetë përgjegjësit e masës, apo edhe duke u mbështetur në raporte të tjera të punës siç është ai i zbatimit të Programit të legjislacionit dhe të Programit Kombëtar për Zhvillim</w:t>
      </w:r>
      <w:r w:rsidR="00CB2BB5" w:rsidRPr="00007381">
        <w:rPr>
          <w:rFonts w:ascii="Times New Roman" w:hAnsi="Times New Roman" w:cs="Times New Roman"/>
          <w:sz w:val="24"/>
          <w:szCs w:val="24"/>
        </w:rPr>
        <w:t>.</w:t>
      </w:r>
    </w:p>
    <w:p w:rsidR="003E4A1F" w:rsidRPr="00007381" w:rsidRDefault="003E4A1F" w:rsidP="003E4A1F">
      <w:pPr>
        <w:pStyle w:val="BodyText"/>
        <w:spacing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81">
        <w:rPr>
          <w:rFonts w:ascii="Times New Roman" w:hAnsi="Times New Roman" w:cs="Times New Roman"/>
          <w:sz w:val="24"/>
          <w:szCs w:val="24"/>
        </w:rPr>
        <w:t>Nga pesëdhjetenëntë (59) masat e propozuara</w:t>
      </w:r>
      <w:r w:rsidR="00D41554" w:rsidRPr="00007381">
        <w:rPr>
          <w:rFonts w:ascii="Times New Roman" w:hAnsi="Times New Roman" w:cs="Times New Roman"/>
          <w:sz w:val="24"/>
          <w:szCs w:val="24"/>
        </w:rPr>
        <w:t>, p</w:t>
      </w:r>
      <w:r w:rsidR="00CF72AF" w:rsidRPr="00007381">
        <w:rPr>
          <w:rFonts w:ascii="Times New Roman" w:hAnsi="Times New Roman" w:cs="Times New Roman"/>
          <w:sz w:val="24"/>
          <w:szCs w:val="24"/>
        </w:rPr>
        <w:t>ë</w:t>
      </w:r>
      <w:r w:rsidR="00D41554" w:rsidRPr="00007381">
        <w:rPr>
          <w:rFonts w:ascii="Times New Roman" w:hAnsi="Times New Roman" w:cs="Times New Roman"/>
          <w:sz w:val="24"/>
          <w:szCs w:val="24"/>
        </w:rPr>
        <w:t>r periudh</w:t>
      </w:r>
      <w:r w:rsidR="00CF72AF" w:rsidRPr="00007381">
        <w:rPr>
          <w:rFonts w:ascii="Times New Roman" w:hAnsi="Times New Roman" w:cs="Times New Roman"/>
          <w:sz w:val="24"/>
          <w:szCs w:val="24"/>
        </w:rPr>
        <w:t>ë</w:t>
      </w:r>
      <w:r w:rsidR="00D41554" w:rsidRPr="00007381">
        <w:rPr>
          <w:rFonts w:ascii="Times New Roman" w:hAnsi="Times New Roman" w:cs="Times New Roman"/>
          <w:sz w:val="24"/>
          <w:szCs w:val="24"/>
        </w:rPr>
        <w:t>n e raportimi,</w:t>
      </w:r>
      <w:r w:rsidRPr="00007381">
        <w:rPr>
          <w:rFonts w:ascii="Times New Roman" w:hAnsi="Times New Roman" w:cs="Times New Roman"/>
          <w:sz w:val="24"/>
          <w:szCs w:val="24"/>
        </w:rPr>
        <w:t xml:space="preserve"> zbatim të plotë kanë gjetur </w:t>
      </w:r>
      <w:r w:rsidR="00D41554" w:rsidRPr="00007381">
        <w:rPr>
          <w:rFonts w:ascii="Times New Roman" w:hAnsi="Times New Roman" w:cs="Times New Roman"/>
          <w:sz w:val="24"/>
          <w:szCs w:val="24"/>
        </w:rPr>
        <w:t>tet</w:t>
      </w:r>
      <w:r w:rsidR="00CF72AF" w:rsidRPr="00007381">
        <w:rPr>
          <w:rFonts w:ascii="Times New Roman" w:hAnsi="Times New Roman" w:cs="Times New Roman"/>
          <w:sz w:val="24"/>
          <w:szCs w:val="24"/>
        </w:rPr>
        <w:t>ë</w:t>
      </w:r>
      <w:r w:rsidR="00D41554" w:rsidRPr="00007381">
        <w:rPr>
          <w:rFonts w:ascii="Times New Roman" w:hAnsi="Times New Roman" w:cs="Times New Roman"/>
          <w:sz w:val="24"/>
          <w:szCs w:val="24"/>
        </w:rPr>
        <w:t>mb</w:t>
      </w:r>
      <w:r w:rsidR="00CF72AF" w:rsidRPr="00007381">
        <w:rPr>
          <w:rFonts w:ascii="Times New Roman" w:hAnsi="Times New Roman" w:cs="Times New Roman"/>
          <w:sz w:val="24"/>
          <w:szCs w:val="24"/>
        </w:rPr>
        <w:t>ë</w:t>
      </w:r>
      <w:r w:rsidR="00D41554" w:rsidRPr="00007381">
        <w:rPr>
          <w:rFonts w:ascii="Times New Roman" w:hAnsi="Times New Roman" w:cs="Times New Roman"/>
          <w:sz w:val="24"/>
          <w:szCs w:val="24"/>
        </w:rPr>
        <w:t>dhjet</w:t>
      </w:r>
      <w:r w:rsidR="00CF72AF" w:rsidRPr="00007381">
        <w:rPr>
          <w:rFonts w:ascii="Times New Roman" w:hAnsi="Times New Roman" w:cs="Times New Roman"/>
          <w:sz w:val="24"/>
          <w:szCs w:val="24"/>
        </w:rPr>
        <w:t>ë</w:t>
      </w:r>
      <w:r w:rsidRPr="00007381">
        <w:rPr>
          <w:rFonts w:ascii="Times New Roman" w:hAnsi="Times New Roman" w:cs="Times New Roman"/>
          <w:sz w:val="24"/>
          <w:szCs w:val="24"/>
        </w:rPr>
        <w:t xml:space="preserve"> (</w:t>
      </w:r>
      <w:r w:rsidR="00D41554" w:rsidRPr="00007381">
        <w:rPr>
          <w:rFonts w:ascii="Times New Roman" w:hAnsi="Times New Roman" w:cs="Times New Roman"/>
          <w:sz w:val="24"/>
          <w:szCs w:val="24"/>
        </w:rPr>
        <w:t>18</w:t>
      </w:r>
      <w:r w:rsidRPr="00007381">
        <w:rPr>
          <w:rFonts w:ascii="Times New Roman" w:hAnsi="Times New Roman" w:cs="Times New Roman"/>
          <w:sz w:val="24"/>
          <w:szCs w:val="24"/>
        </w:rPr>
        <w:t xml:space="preserve">) prej tyre apo thënë në përqindje është realizuar </w:t>
      </w:r>
      <w:r w:rsidR="00EA7EC4" w:rsidRPr="00007381">
        <w:rPr>
          <w:rFonts w:ascii="Times New Roman" w:hAnsi="Times New Roman" w:cs="Times New Roman"/>
          <w:sz w:val="24"/>
          <w:szCs w:val="24"/>
        </w:rPr>
        <w:t>30.5</w:t>
      </w:r>
      <w:r w:rsidRPr="00007381">
        <w:rPr>
          <w:rFonts w:ascii="Times New Roman" w:hAnsi="Times New Roman" w:cs="Times New Roman"/>
          <w:sz w:val="24"/>
          <w:szCs w:val="24"/>
        </w:rPr>
        <w:t xml:space="preserve">%, </w:t>
      </w:r>
      <w:r w:rsidR="00EA7EC4" w:rsidRPr="00007381">
        <w:rPr>
          <w:rFonts w:ascii="Times New Roman" w:hAnsi="Times New Roman" w:cs="Times New Roman"/>
          <w:sz w:val="24"/>
          <w:szCs w:val="24"/>
        </w:rPr>
        <w:t>pjes</w:t>
      </w:r>
      <w:r w:rsidR="00CF72AF" w:rsidRPr="00007381">
        <w:rPr>
          <w:rFonts w:ascii="Times New Roman" w:hAnsi="Times New Roman" w:cs="Times New Roman"/>
          <w:sz w:val="24"/>
          <w:szCs w:val="24"/>
        </w:rPr>
        <w:t>ë</w:t>
      </w:r>
      <w:r w:rsidR="00EA7EC4" w:rsidRPr="00007381">
        <w:rPr>
          <w:rFonts w:ascii="Times New Roman" w:hAnsi="Times New Roman" w:cs="Times New Roman"/>
          <w:sz w:val="24"/>
          <w:szCs w:val="24"/>
        </w:rPr>
        <w:t>risht t</w:t>
      </w:r>
      <w:r w:rsidR="00CF72AF" w:rsidRPr="00007381">
        <w:rPr>
          <w:rFonts w:ascii="Times New Roman" w:hAnsi="Times New Roman" w:cs="Times New Roman"/>
          <w:sz w:val="24"/>
          <w:szCs w:val="24"/>
        </w:rPr>
        <w:t>ë</w:t>
      </w:r>
      <w:r w:rsidR="00EA7EC4" w:rsidRPr="00007381">
        <w:rPr>
          <w:rFonts w:ascii="Times New Roman" w:hAnsi="Times New Roman" w:cs="Times New Roman"/>
          <w:sz w:val="24"/>
          <w:szCs w:val="24"/>
        </w:rPr>
        <w:t xml:space="preserve"> realizuara jan</w:t>
      </w:r>
      <w:r w:rsidR="00CF72AF" w:rsidRPr="00007381">
        <w:rPr>
          <w:rFonts w:ascii="Times New Roman" w:hAnsi="Times New Roman" w:cs="Times New Roman"/>
          <w:sz w:val="24"/>
          <w:szCs w:val="24"/>
        </w:rPr>
        <w:t>ë</w:t>
      </w:r>
      <w:r w:rsidR="00EA7EC4" w:rsidRPr="00007381">
        <w:rPr>
          <w:rFonts w:ascii="Times New Roman" w:hAnsi="Times New Roman" w:cs="Times New Roman"/>
          <w:sz w:val="24"/>
          <w:szCs w:val="24"/>
        </w:rPr>
        <w:t xml:space="preserve"> </w:t>
      </w:r>
      <w:r w:rsidR="00CF72AF" w:rsidRPr="00007381">
        <w:rPr>
          <w:rFonts w:ascii="Times New Roman" w:hAnsi="Times New Roman" w:cs="Times New Roman"/>
          <w:sz w:val="24"/>
          <w:szCs w:val="24"/>
        </w:rPr>
        <w:t>gjithsejte</w:t>
      </w:r>
      <w:r w:rsidR="00EA7EC4" w:rsidRPr="00007381">
        <w:rPr>
          <w:rFonts w:ascii="Times New Roman" w:hAnsi="Times New Roman" w:cs="Times New Roman"/>
          <w:sz w:val="24"/>
          <w:szCs w:val="24"/>
        </w:rPr>
        <w:t xml:space="preserve"> n</w:t>
      </w:r>
      <w:r w:rsidR="00CF72AF" w:rsidRPr="00007381">
        <w:rPr>
          <w:rFonts w:ascii="Times New Roman" w:hAnsi="Times New Roman" w:cs="Times New Roman"/>
          <w:sz w:val="24"/>
          <w:szCs w:val="24"/>
        </w:rPr>
        <w:t>ë</w:t>
      </w:r>
      <w:r w:rsidR="00EA7EC4" w:rsidRPr="00007381">
        <w:rPr>
          <w:rFonts w:ascii="Times New Roman" w:hAnsi="Times New Roman" w:cs="Times New Roman"/>
          <w:sz w:val="24"/>
          <w:szCs w:val="24"/>
        </w:rPr>
        <w:t>nt</w:t>
      </w:r>
      <w:r w:rsidR="00CF72AF" w:rsidRPr="00007381">
        <w:rPr>
          <w:rFonts w:ascii="Times New Roman" w:hAnsi="Times New Roman" w:cs="Times New Roman"/>
          <w:sz w:val="24"/>
          <w:szCs w:val="24"/>
        </w:rPr>
        <w:t>ë</w:t>
      </w:r>
      <w:r w:rsidR="00EA7EC4" w:rsidRPr="00007381">
        <w:rPr>
          <w:rFonts w:ascii="Times New Roman" w:hAnsi="Times New Roman" w:cs="Times New Roman"/>
          <w:sz w:val="24"/>
          <w:szCs w:val="24"/>
        </w:rPr>
        <w:t xml:space="preserve"> (9) masa apo th</w:t>
      </w:r>
      <w:r w:rsidR="00CF72AF" w:rsidRPr="00007381">
        <w:rPr>
          <w:rFonts w:ascii="Times New Roman" w:hAnsi="Times New Roman" w:cs="Times New Roman"/>
          <w:sz w:val="24"/>
          <w:szCs w:val="24"/>
        </w:rPr>
        <w:t>ë</w:t>
      </w:r>
      <w:r w:rsidR="00EA7EC4" w:rsidRPr="00007381">
        <w:rPr>
          <w:rFonts w:ascii="Times New Roman" w:hAnsi="Times New Roman" w:cs="Times New Roman"/>
          <w:sz w:val="24"/>
          <w:szCs w:val="24"/>
        </w:rPr>
        <w:t>n</w:t>
      </w:r>
      <w:r w:rsidR="00CF72AF" w:rsidRPr="00007381">
        <w:rPr>
          <w:rFonts w:ascii="Times New Roman" w:hAnsi="Times New Roman" w:cs="Times New Roman"/>
          <w:sz w:val="24"/>
          <w:szCs w:val="24"/>
        </w:rPr>
        <w:t>ë</w:t>
      </w:r>
      <w:r w:rsidR="00EA7EC4" w:rsidRPr="00007381">
        <w:rPr>
          <w:rFonts w:ascii="Times New Roman" w:hAnsi="Times New Roman" w:cs="Times New Roman"/>
          <w:sz w:val="24"/>
          <w:szCs w:val="24"/>
        </w:rPr>
        <w:t xml:space="preserve"> n</w:t>
      </w:r>
      <w:r w:rsidR="00CF72AF" w:rsidRPr="00007381">
        <w:rPr>
          <w:rFonts w:ascii="Times New Roman" w:hAnsi="Times New Roman" w:cs="Times New Roman"/>
          <w:sz w:val="24"/>
          <w:szCs w:val="24"/>
        </w:rPr>
        <w:t>ë</w:t>
      </w:r>
      <w:r w:rsidR="00EA7EC4" w:rsidRPr="00007381">
        <w:rPr>
          <w:rFonts w:ascii="Times New Roman" w:hAnsi="Times New Roman" w:cs="Times New Roman"/>
          <w:sz w:val="24"/>
          <w:szCs w:val="24"/>
        </w:rPr>
        <w:t xml:space="preserve"> p</w:t>
      </w:r>
      <w:r w:rsidR="00CF72AF" w:rsidRPr="00007381">
        <w:rPr>
          <w:rFonts w:ascii="Times New Roman" w:hAnsi="Times New Roman" w:cs="Times New Roman"/>
          <w:sz w:val="24"/>
          <w:szCs w:val="24"/>
        </w:rPr>
        <w:t>ë</w:t>
      </w:r>
      <w:r w:rsidR="00EA7EC4" w:rsidRPr="00007381">
        <w:rPr>
          <w:rFonts w:ascii="Times New Roman" w:hAnsi="Times New Roman" w:cs="Times New Roman"/>
          <w:sz w:val="24"/>
          <w:szCs w:val="24"/>
        </w:rPr>
        <w:t xml:space="preserve">rqindje 15.2%, </w:t>
      </w:r>
      <w:r w:rsidRPr="00007381">
        <w:rPr>
          <w:rFonts w:ascii="Times New Roman" w:hAnsi="Times New Roman" w:cs="Times New Roman"/>
          <w:sz w:val="24"/>
          <w:szCs w:val="24"/>
        </w:rPr>
        <w:t xml:space="preserve">në proces </w:t>
      </w:r>
      <w:r w:rsidR="00EA7EC4" w:rsidRPr="00007381">
        <w:rPr>
          <w:rFonts w:ascii="Times New Roman" w:hAnsi="Times New Roman" w:cs="Times New Roman"/>
          <w:sz w:val="24"/>
          <w:szCs w:val="24"/>
        </w:rPr>
        <w:t>t</w:t>
      </w:r>
      <w:r w:rsidR="00CF72AF" w:rsidRPr="00007381">
        <w:rPr>
          <w:rFonts w:ascii="Times New Roman" w:hAnsi="Times New Roman" w:cs="Times New Roman"/>
          <w:sz w:val="24"/>
          <w:szCs w:val="24"/>
        </w:rPr>
        <w:t>ë</w:t>
      </w:r>
      <w:r w:rsidR="00EA7EC4" w:rsidRPr="00007381">
        <w:rPr>
          <w:rFonts w:ascii="Times New Roman" w:hAnsi="Times New Roman" w:cs="Times New Roman"/>
          <w:sz w:val="24"/>
          <w:szCs w:val="24"/>
        </w:rPr>
        <w:t xml:space="preserve"> realizimit</w:t>
      </w:r>
      <w:r w:rsidRPr="00007381">
        <w:rPr>
          <w:rFonts w:ascii="Times New Roman" w:hAnsi="Times New Roman" w:cs="Times New Roman"/>
          <w:sz w:val="24"/>
          <w:szCs w:val="24"/>
        </w:rPr>
        <w:t xml:space="preserve"> janë </w:t>
      </w:r>
      <w:r w:rsidR="00EA7EC4" w:rsidRPr="00007381">
        <w:rPr>
          <w:rFonts w:ascii="Times New Roman" w:hAnsi="Times New Roman" w:cs="Times New Roman"/>
          <w:sz w:val="24"/>
          <w:szCs w:val="24"/>
        </w:rPr>
        <w:t>nj</w:t>
      </w:r>
      <w:r w:rsidR="00CF72AF" w:rsidRPr="00007381">
        <w:rPr>
          <w:rFonts w:ascii="Times New Roman" w:hAnsi="Times New Roman" w:cs="Times New Roman"/>
          <w:sz w:val="24"/>
          <w:szCs w:val="24"/>
        </w:rPr>
        <w:t>ë</w:t>
      </w:r>
      <w:r w:rsidR="00EA7EC4" w:rsidRPr="00007381">
        <w:rPr>
          <w:rFonts w:ascii="Times New Roman" w:hAnsi="Times New Roman" w:cs="Times New Roman"/>
          <w:sz w:val="24"/>
          <w:szCs w:val="24"/>
        </w:rPr>
        <w:t>zeteshtat</w:t>
      </w:r>
      <w:r w:rsidR="00CF72AF" w:rsidRPr="00007381">
        <w:rPr>
          <w:rFonts w:ascii="Times New Roman" w:hAnsi="Times New Roman" w:cs="Times New Roman"/>
          <w:sz w:val="24"/>
          <w:szCs w:val="24"/>
        </w:rPr>
        <w:t>ë</w:t>
      </w:r>
      <w:r w:rsidRPr="00007381">
        <w:rPr>
          <w:rFonts w:ascii="Times New Roman" w:hAnsi="Times New Roman" w:cs="Times New Roman"/>
          <w:sz w:val="24"/>
          <w:szCs w:val="24"/>
        </w:rPr>
        <w:t xml:space="preserve"> (</w:t>
      </w:r>
      <w:r w:rsidR="00EA7EC4" w:rsidRPr="00007381">
        <w:rPr>
          <w:rFonts w:ascii="Times New Roman" w:hAnsi="Times New Roman" w:cs="Times New Roman"/>
          <w:sz w:val="24"/>
          <w:szCs w:val="24"/>
        </w:rPr>
        <w:t>27</w:t>
      </w:r>
      <w:r w:rsidRPr="00007381">
        <w:rPr>
          <w:rFonts w:ascii="Times New Roman" w:hAnsi="Times New Roman" w:cs="Times New Roman"/>
          <w:sz w:val="24"/>
          <w:szCs w:val="24"/>
        </w:rPr>
        <w:t xml:space="preserve">) masa, apo </w:t>
      </w:r>
      <w:r w:rsidR="00EA7EC4" w:rsidRPr="00007381">
        <w:rPr>
          <w:rFonts w:ascii="Times New Roman" w:hAnsi="Times New Roman" w:cs="Times New Roman"/>
          <w:sz w:val="24"/>
          <w:szCs w:val="24"/>
        </w:rPr>
        <w:t>45.7</w:t>
      </w:r>
      <w:r w:rsidRPr="00007381">
        <w:rPr>
          <w:rFonts w:ascii="Times New Roman" w:hAnsi="Times New Roman" w:cs="Times New Roman"/>
          <w:sz w:val="24"/>
          <w:szCs w:val="24"/>
        </w:rPr>
        <w:t xml:space="preserve"> %, </w:t>
      </w:r>
      <w:r w:rsidR="00EA7EC4" w:rsidRPr="00007381">
        <w:rPr>
          <w:rFonts w:ascii="Times New Roman" w:hAnsi="Times New Roman" w:cs="Times New Roman"/>
          <w:sz w:val="24"/>
          <w:szCs w:val="24"/>
        </w:rPr>
        <w:t>dy (2) masa kan</w:t>
      </w:r>
      <w:r w:rsidR="00CF72AF" w:rsidRPr="00007381">
        <w:rPr>
          <w:rFonts w:ascii="Times New Roman" w:hAnsi="Times New Roman" w:cs="Times New Roman"/>
          <w:sz w:val="24"/>
          <w:szCs w:val="24"/>
        </w:rPr>
        <w:t>ë</w:t>
      </w:r>
      <w:r w:rsidR="00EA7EC4" w:rsidRPr="00007381">
        <w:rPr>
          <w:rFonts w:ascii="Times New Roman" w:hAnsi="Times New Roman" w:cs="Times New Roman"/>
          <w:sz w:val="24"/>
          <w:szCs w:val="24"/>
        </w:rPr>
        <w:t xml:space="preserve"> filluar n</w:t>
      </w:r>
      <w:r w:rsidR="00CF72AF" w:rsidRPr="00007381">
        <w:rPr>
          <w:rFonts w:ascii="Times New Roman" w:hAnsi="Times New Roman" w:cs="Times New Roman"/>
          <w:sz w:val="24"/>
          <w:szCs w:val="24"/>
        </w:rPr>
        <w:t>ë</w:t>
      </w:r>
      <w:r w:rsidR="00EA7EC4" w:rsidRPr="00007381">
        <w:rPr>
          <w:rFonts w:ascii="Times New Roman" w:hAnsi="Times New Roman" w:cs="Times New Roman"/>
          <w:sz w:val="24"/>
          <w:szCs w:val="24"/>
        </w:rPr>
        <w:t xml:space="preserve"> qershor sipas aktivitetit t</w:t>
      </w:r>
      <w:r w:rsidR="00CF72AF" w:rsidRPr="00007381">
        <w:rPr>
          <w:rFonts w:ascii="Times New Roman" w:hAnsi="Times New Roman" w:cs="Times New Roman"/>
          <w:sz w:val="24"/>
          <w:szCs w:val="24"/>
        </w:rPr>
        <w:t>ë</w:t>
      </w:r>
      <w:r w:rsidR="00EA7EC4" w:rsidRPr="00007381">
        <w:rPr>
          <w:rFonts w:ascii="Times New Roman" w:hAnsi="Times New Roman" w:cs="Times New Roman"/>
          <w:sz w:val="24"/>
          <w:szCs w:val="24"/>
        </w:rPr>
        <w:t xml:space="preserve"> planifikuar, </w:t>
      </w:r>
      <w:r w:rsidRPr="00007381">
        <w:rPr>
          <w:rFonts w:ascii="Times New Roman" w:hAnsi="Times New Roman" w:cs="Times New Roman"/>
          <w:sz w:val="24"/>
          <w:szCs w:val="24"/>
        </w:rPr>
        <w:t xml:space="preserve">si dhe </w:t>
      </w:r>
      <w:r w:rsidR="00EA7EC4" w:rsidRPr="00007381">
        <w:rPr>
          <w:rFonts w:ascii="Times New Roman" w:hAnsi="Times New Roman" w:cs="Times New Roman"/>
          <w:sz w:val="24"/>
          <w:szCs w:val="24"/>
        </w:rPr>
        <w:t xml:space="preserve">tre </w:t>
      </w:r>
      <w:r w:rsidRPr="00007381">
        <w:rPr>
          <w:rFonts w:ascii="Times New Roman" w:hAnsi="Times New Roman" w:cs="Times New Roman"/>
          <w:sz w:val="24"/>
          <w:szCs w:val="24"/>
        </w:rPr>
        <w:t>(</w:t>
      </w:r>
      <w:r w:rsidR="00EA7EC4" w:rsidRPr="00007381">
        <w:rPr>
          <w:rFonts w:ascii="Times New Roman" w:hAnsi="Times New Roman" w:cs="Times New Roman"/>
          <w:sz w:val="24"/>
          <w:szCs w:val="24"/>
        </w:rPr>
        <w:t>3</w:t>
      </w:r>
      <w:r w:rsidRPr="00007381">
        <w:rPr>
          <w:rFonts w:ascii="Times New Roman" w:hAnsi="Times New Roman" w:cs="Times New Roman"/>
          <w:sz w:val="24"/>
          <w:szCs w:val="24"/>
        </w:rPr>
        <w:t xml:space="preserve">) aktivitete janë të parealizuara, apo </w:t>
      </w:r>
      <w:r w:rsidR="00EA7EC4" w:rsidRPr="00007381">
        <w:rPr>
          <w:rFonts w:ascii="Times New Roman" w:hAnsi="Times New Roman" w:cs="Times New Roman"/>
          <w:sz w:val="24"/>
          <w:szCs w:val="24"/>
        </w:rPr>
        <w:t>5</w:t>
      </w:r>
      <w:r w:rsidRPr="00007381">
        <w:rPr>
          <w:rFonts w:ascii="Times New Roman" w:hAnsi="Times New Roman" w:cs="Times New Roman"/>
          <w:sz w:val="24"/>
          <w:szCs w:val="24"/>
        </w:rPr>
        <w:t>.</w:t>
      </w:r>
      <w:r w:rsidR="00EA7EC4" w:rsidRPr="00007381">
        <w:rPr>
          <w:rFonts w:ascii="Times New Roman" w:hAnsi="Times New Roman" w:cs="Times New Roman"/>
          <w:sz w:val="24"/>
          <w:szCs w:val="24"/>
        </w:rPr>
        <w:t>0</w:t>
      </w:r>
      <w:r w:rsidRPr="00007381">
        <w:rPr>
          <w:rFonts w:ascii="Times New Roman" w:hAnsi="Times New Roman" w:cs="Times New Roman"/>
          <w:sz w:val="24"/>
          <w:szCs w:val="24"/>
        </w:rPr>
        <w:t xml:space="preserve">8%, të cilat aktivitete priten të realizohen në gjysmën e </w:t>
      </w:r>
      <w:r w:rsidR="00CF72AF" w:rsidRPr="00007381">
        <w:rPr>
          <w:rFonts w:ascii="Times New Roman" w:hAnsi="Times New Roman" w:cs="Times New Roman"/>
          <w:sz w:val="24"/>
          <w:szCs w:val="24"/>
        </w:rPr>
        <w:t>dytë</w:t>
      </w:r>
      <w:r w:rsidRPr="00007381">
        <w:rPr>
          <w:rFonts w:ascii="Times New Roman" w:hAnsi="Times New Roman" w:cs="Times New Roman"/>
          <w:sz w:val="24"/>
          <w:szCs w:val="24"/>
        </w:rPr>
        <w:t xml:space="preserve"> të vitit 2024.</w:t>
      </w:r>
    </w:p>
    <w:p w:rsidR="003E4A1F" w:rsidRPr="00007381" w:rsidRDefault="003E4A1F" w:rsidP="003E4A1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4A1F" w:rsidRPr="00007381" w:rsidRDefault="003E4A1F" w:rsidP="003E4A1F">
      <w:pPr>
        <w:pStyle w:val="Heading1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" w:name="_Toc523994899"/>
      <w:bookmarkStart w:id="4" w:name="_Toc171939826"/>
      <w:r w:rsidRPr="00007381">
        <w:rPr>
          <w:rFonts w:ascii="Times New Roman" w:hAnsi="Times New Roman" w:cs="Times New Roman"/>
          <w:b/>
          <w:caps w:val="0"/>
          <w:color w:val="000000" w:themeColor="text1"/>
          <w:sz w:val="24"/>
          <w:szCs w:val="24"/>
        </w:rPr>
        <w:t>Realizimi i aktiviteteve</w:t>
      </w:r>
      <w:bookmarkEnd w:id="4"/>
    </w:p>
    <w:p w:rsidR="003E4A1F" w:rsidRPr="00007381" w:rsidRDefault="003E4A1F" w:rsidP="003E4A1F">
      <w:pPr>
        <w:spacing w:before="0"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E4A1F" w:rsidRPr="00007381" w:rsidRDefault="003E4A1F" w:rsidP="003E4A1F">
      <w:pPr>
        <w:spacing w:before="0" w:after="160" w:line="259" w:lineRule="auto"/>
        <w:rPr>
          <w:rFonts w:ascii="Times New Roman" w:hAnsi="Times New Roman" w:cs="Times New Roman"/>
          <w:sz w:val="24"/>
          <w:szCs w:val="24"/>
        </w:rPr>
      </w:pPr>
      <w:r w:rsidRPr="000073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Aktivitete kryesore në kuadër Planit të integritetit kanë qenë ato të </w:t>
      </w:r>
      <w:r w:rsidRPr="00007381">
        <w:rPr>
          <w:rFonts w:ascii="Times New Roman" w:hAnsi="Times New Roman" w:cs="Times New Roman"/>
          <w:sz w:val="24"/>
          <w:szCs w:val="24"/>
        </w:rPr>
        <w:t xml:space="preserve">prokurimit publik dhe menaxhimi i projekteve/kontratave, furnizimi me barna, transparenca, respektimi i </w:t>
      </w:r>
      <w:proofErr w:type="spellStart"/>
      <w:r w:rsidRPr="00007381">
        <w:rPr>
          <w:rFonts w:ascii="Times New Roman" w:hAnsi="Times New Roman" w:cs="Times New Roman"/>
          <w:sz w:val="24"/>
          <w:szCs w:val="24"/>
        </w:rPr>
        <w:t>meritokracisë</w:t>
      </w:r>
      <w:proofErr w:type="spellEnd"/>
      <w:r w:rsidRPr="00007381">
        <w:rPr>
          <w:rFonts w:ascii="Times New Roman" w:hAnsi="Times New Roman" w:cs="Times New Roman"/>
          <w:sz w:val="24"/>
          <w:szCs w:val="24"/>
        </w:rPr>
        <w:t>, zhvillimi i moduleve përkatëse për raportim dhe siguri në të dhëna, si  dhe inspektimet.</w:t>
      </w:r>
    </w:p>
    <w:bookmarkEnd w:id="3"/>
    <w:p w:rsidR="00CF72AF" w:rsidRPr="00007381" w:rsidRDefault="003E4A1F" w:rsidP="003E4A1F">
      <w:pPr>
        <w:pStyle w:val="ListParagraph"/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spacing w:before="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07381">
        <w:rPr>
          <w:rFonts w:ascii="Times New Roman" w:hAnsi="Times New Roman" w:cs="Times New Roman"/>
          <w:sz w:val="24"/>
          <w:szCs w:val="24"/>
        </w:rPr>
        <w:t>Drejtimi dhe menaxhimi – edhe pse Ligji bazik për hartim të politikave gjithnjë është konsideruar me prioritet</w:t>
      </w:r>
      <w:r w:rsidR="00CF72AF" w:rsidRPr="00007381">
        <w:rPr>
          <w:rFonts w:ascii="Times New Roman" w:hAnsi="Times New Roman" w:cs="Times New Roman"/>
          <w:sz w:val="24"/>
          <w:szCs w:val="24"/>
        </w:rPr>
        <w:t>,</w:t>
      </w:r>
      <w:r w:rsidRPr="00007381">
        <w:rPr>
          <w:rFonts w:ascii="Times New Roman" w:hAnsi="Times New Roman" w:cs="Times New Roman"/>
          <w:sz w:val="24"/>
          <w:szCs w:val="24"/>
        </w:rPr>
        <w:t xml:space="preserve"> tashmë është </w:t>
      </w:r>
      <w:r w:rsidR="00CF72AF" w:rsidRPr="00007381">
        <w:rPr>
          <w:rFonts w:ascii="Times New Roman" w:hAnsi="Times New Roman" w:cs="Times New Roman"/>
          <w:sz w:val="24"/>
          <w:szCs w:val="24"/>
        </w:rPr>
        <w:t xml:space="preserve">një draft final dhe pritet që në pjesën e dytë të vitit të merren hapat e </w:t>
      </w:r>
      <w:r w:rsidR="00007381" w:rsidRPr="00007381">
        <w:rPr>
          <w:rFonts w:ascii="Times New Roman" w:hAnsi="Times New Roman" w:cs="Times New Roman"/>
          <w:sz w:val="24"/>
          <w:szCs w:val="24"/>
        </w:rPr>
        <w:t>mëtutjeshëm</w:t>
      </w:r>
      <w:r w:rsidR="00CF72AF" w:rsidRPr="00007381">
        <w:rPr>
          <w:rFonts w:ascii="Times New Roman" w:hAnsi="Times New Roman" w:cs="Times New Roman"/>
          <w:sz w:val="24"/>
          <w:szCs w:val="24"/>
        </w:rPr>
        <w:t>.</w:t>
      </w:r>
    </w:p>
    <w:p w:rsidR="003E4A1F" w:rsidRPr="00007381" w:rsidRDefault="003E4A1F" w:rsidP="003E4A1F">
      <w:pPr>
        <w:pStyle w:val="ListParagraph"/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spacing w:before="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07381">
        <w:rPr>
          <w:rFonts w:ascii="Times New Roman" w:hAnsi="Times New Roman" w:cs="Times New Roman"/>
          <w:sz w:val="24"/>
          <w:szCs w:val="24"/>
        </w:rPr>
        <w:t xml:space="preserve">Planifikimi dhe menaxhimi financiar, kjo fushë është në nivel të </w:t>
      </w:r>
      <w:r w:rsidR="00CF72AF" w:rsidRPr="00007381">
        <w:rPr>
          <w:rFonts w:ascii="Times New Roman" w:hAnsi="Times New Roman" w:cs="Times New Roman"/>
          <w:sz w:val="24"/>
          <w:szCs w:val="24"/>
        </w:rPr>
        <w:t>mirë të realizimit,</w:t>
      </w:r>
      <w:r w:rsidRPr="00007381">
        <w:rPr>
          <w:rFonts w:ascii="Times New Roman" w:hAnsi="Times New Roman" w:cs="Times New Roman"/>
          <w:sz w:val="24"/>
          <w:szCs w:val="24"/>
        </w:rPr>
        <w:t xml:space="preserve"> sipas masave të propozuar në Planin e integritetit.</w:t>
      </w:r>
    </w:p>
    <w:p w:rsidR="003E4A1F" w:rsidRPr="00007381" w:rsidRDefault="003E4A1F" w:rsidP="003E4A1F">
      <w:pPr>
        <w:pStyle w:val="ListParagraph"/>
        <w:numPr>
          <w:ilvl w:val="0"/>
          <w:numId w:val="3"/>
        </w:numPr>
        <w:spacing w:before="0" w:after="160" w:line="259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7381">
        <w:rPr>
          <w:rFonts w:ascii="Times New Roman" w:hAnsi="Times New Roman" w:cs="Times New Roman"/>
          <w:sz w:val="24"/>
          <w:szCs w:val="24"/>
        </w:rPr>
        <w:t>Politika e burimeve njerëzore, sjellja etike dhe profesionale e të punësuarve, rezulton se janë plotësuar në masë të madhe përgjegjësitë e zyrtarëve, Rregullorja e brendshme</w:t>
      </w:r>
      <w:r w:rsidR="00CF72AF" w:rsidRPr="00007381">
        <w:rPr>
          <w:rFonts w:ascii="Times New Roman" w:hAnsi="Times New Roman" w:cs="Times New Roman"/>
          <w:sz w:val="24"/>
          <w:szCs w:val="24"/>
        </w:rPr>
        <w:t xml:space="preserve"> tashmë është miratuar nga Kryeministri</w:t>
      </w:r>
      <w:r w:rsidRPr="00007381">
        <w:rPr>
          <w:rFonts w:ascii="Times New Roman" w:hAnsi="Times New Roman" w:cs="Times New Roman"/>
          <w:sz w:val="24"/>
          <w:szCs w:val="24"/>
        </w:rPr>
        <w:t>,</w:t>
      </w:r>
      <w:r w:rsidR="00CF72AF" w:rsidRPr="00007381">
        <w:rPr>
          <w:rFonts w:ascii="Times New Roman" w:hAnsi="Times New Roman" w:cs="Times New Roman"/>
          <w:sz w:val="24"/>
          <w:szCs w:val="24"/>
        </w:rPr>
        <w:t xml:space="preserve"> derisa </w:t>
      </w:r>
      <w:r w:rsidR="00CF72AF" w:rsidRPr="00007381">
        <w:rPr>
          <w:rFonts w:ascii="Times New Roman" w:hAnsi="Times New Roman" w:cs="Times New Roman"/>
          <w:sz w:val="24"/>
          <w:szCs w:val="24"/>
        </w:rPr>
        <w:t xml:space="preserve">hartimi i PSO-së </w:t>
      </w:r>
      <w:r w:rsidR="00CF72AF" w:rsidRPr="005957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për deklarim të konfliktit të </w:t>
      </w:r>
      <w:proofErr w:type="spellStart"/>
      <w:r w:rsidR="00CF72AF" w:rsidRPr="00007381">
        <w:rPr>
          <w:rFonts w:ascii="Times New Roman" w:eastAsia="Times New Roman" w:hAnsi="Times New Roman" w:cs="Times New Roman"/>
          <w:color w:val="000000"/>
          <w:sz w:val="24"/>
          <w:szCs w:val="24"/>
        </w:rPr>
        <w:t>interest</w:t>
      </w:r>
      <w:proofErr w:type="spellEnd"/>
      <w:r w:rsidR="00CF72AF" w:rsidRPr="00007381">
        <w:rPr>
          <w:rFonts w:ascii="Times New Roman" w:eastAsia="Times New Roman" w:hAnsi="Times New Roman" w:cs="Times New Roman"/>
          <w:color w:val="000000"/>
          <w:sz w:val="24"/>
          <w:szCs w:val="24"/>
        </w:rPr>
        <w:t>, pritet që të hartohet dhe miratohet sipas afateve të parapara.</w:t>
      </w:r>
    </w:p>
    <w:p w:rsidR="003E4A1F" w:rsidRPr="00007381" w:rsidRDefault="00007381" w:rsidP="00007381">
      <w:pPr>
        <w:pStyle w:val="ListParagraph"/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spacing w:before="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07381">
        <w:rPr>
          <w:rFonts w:ascii="Times New Roman" w:eastAsia="Calibri" w:hAnsi="Times New Roman" w:cs="Times New Roman"/>
          <w:sz w:val="24"/>
          <w:szCs w:val="24"/>
          <w:lang w:eastAsia="en-US"/>
        </w:rPr>
        <w:t>Komunikimi dhe informimi ka treguar rezultate të kënaqshme, pavarësisht resurseve të kufizuara si dhe mungesës së planit të mirëfilltë të komunikimit.</w:t>
      </w:r>
      <w:r w:rsidR="003E4A1F" w:rsidRPr="00007381">
        <w:rPr>
          <w:rFonts w:ascii="Times New Roman" w:hAnsi="Times New Roman" w:cs="Times New Roman"/>
          <w:sz w:val="24"/>
          <w:szCs w:val="24"/>
        </w:rPr>
        <w:t xml:space="preserve"> </w:t>
      </w:r>
      <w:r w:rsidRPr="00007381">
        <w:rPr>
          <w:rFonts w:ascii="Times New Roman" w:hAnsi="Times New Roman" w:cs="Times New Roman"/>
          <w:sz w:val="24"/>
          <w:szCs w:val="24"/>
        </w:rPr>
        <w:t>M</w:t>
      </w:r>
      <w:r w:rsidR="003E4A1F" w:rsidRPr="00007381">
        <w:rPr>
          <w:rFonts w:ascii="Times New Roman" w:hAnsi="Times New Roman" w:cs="Times New Roman"/>
          <w:sz w:val="24"/>
          <w:szCs w:val="24"/>
        </w:rPr>
        <w:t xml:space="preserve">asat e kësaj fushe nuk janë realizuar, megjithatë aktivitetet janë realizuar. Masat e propozuar janë </w:t>
      </w:r>
      <w:r w:rsidR="00CF72AF" w:rsidRPr="00007381">
        <w:rPr>
          <w:rFonts w:ascii="Times New Roman" w:hAnsi="Times New Roman" w:cs="Times New Roman"/>
          <w:sz w:val="24"/>
          <w:szCs w:val="24"/>
        </w:rPr>
        <w:t xml:space="preserve">në proces të hartimit, përjashtimisht </w:t>
      </w:r>
      <w:r w:rsidR="00CF72AF" w:rsidRPr="0059579E">
        <w:rPr>
          <w:rFonts w:ascii="Times New Roman" w:eastAsia="Times New Roman" w:hAnsi="Times New Roman" w:cs="Times New Roman"/>
          <w:color w:val="000000"/>
          <w:sz w:val="24"/>
          <w:szCs w:val="24"/>
        </w:rPr>
        <w:t>Hartimi</w:t>
      </w:r>
      <w:r w:rsidR="00CF72AF" w:rsidRPr="00007381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CF72AF" w:rsidRPr="005957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72AF" w:rsidRPr="00007381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r w:rsidR="00CF72AF" w:rsidRPr="005957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PSO për ngritjen e përgjegjësisë, transparencës përmes komunikimit brenda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007381">
        <w:rPr>
          <w:rFonts w:ascii="Times New Roman" w:eastAsia="Times New Roman" w:hAnsi="Times New Roman" w:cs="Times New Roman"/>
          <w:color w:val="000000"/>
          <w:sz w:val="24"/>
          <w:szCs w:val="24"/>
        </w:rPr>
        <w:t>inistrisë</w:t>
      </w:r>
      <w:r w:rsidR="00CF72AF" w:rsidRPr="000073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 cila do të fillojë pas miratimit të Planit të komunikimit të </w:t>
      </w:r>
      <w:proofErr w:type="spellStart"/>
      <w:r w:rsidR="00CF72AF" w:rsidRPr="00007381">
        <w:rPr>
          <w:rFonts w:ascii="Times New Roman" w:eastAsia="Times New Roman" w:hAnsi="Times New Roman" w:cs="Times New Roman"/>
          <w:color w:val="000000"/>
          <w:sz w:val="24"/>
          <w:szCs w:val="24"/>
        </w:rPr>
        <w:t>reviduar</w:t>
      </w:r>
      <w:proofErr w:type="spellEnd"/>
      <w:r w:rsidR="003E4A1F" w:rsidRPr="00007381">
        <w:rPr>
          <w:rFonts w:ascii="Times New Roman" w:hAnsi="Times New Roman" w:cs="Times New Roman"/>
          <w:sz w:val="24"/>
          <w:szCs w:val="24"/>
        </w:rPr>
        <w:t>.</w:t>
      </w:r>
    </w:p>
    <w:p w:rsidR="003E4A1F" w:rsidRPr="00007381" w:rsidRDefault="003E4A1F" w:rsidP="003E4A1F">
      <w:pPr>
        <w:pStyle w:val="ListParagraph"/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spacing w:before="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07381">
        <w:rPr>
          <w:rFonts w:ascii="Times New Roman" w:hAnsi="Times New Roman" w:cs="Times New Roman"/>
          <w:sz w:val="24"/>
          <w:szCs w:val="24"/>
        </w:rPr>
        <w:t>Ruajtja dhe siguria e të dhënave, masa</w:t>
      </w:r>
      <w:r w:rsidR="00CF72AF" w:rsidRPr="00007381">
        <w:rPr>
          <w:rFonts w:ascii="Times New Roman" w:hAnsi="Times New Roman" w:cs="Times New Roman"/>
          <w:sz w:val="24"/>
          <w:szCs w:val="24"/>
        </w:rPr>
        <w:t>t e</w:t>
      </w:r>
      <w:r w:rsidRPr="00007381">
        <w:rPr>
          <w:rFonts w:ascii="Times New Roman" w:hAnsi="Times New Roman" w:cs="Times New Roman"/>
          <w:sz w:val="24"/>
          <w:szCs w:val="24"/>
        </w:rPr>
        <w:t xml:space="preserve"> kësaj fushe janë </w:t>
      </w:r>
      <w:r w:rsidR="00CF72AF" w:rsidRPr="00007381">
        <w:rPr>
          <w:rFonts w:ascii="Times New Roman" w:hAnsi="Times New Roman" w:cs="Times New Roman"/>
          <w:sz w:val="24"/>
          <w:szCs w:val="24"/>
        </w:rPr>
        <w:t>në proces të realizimit, dhe janë të përfshira edhe në Planin Strategjik për zhvillimin e Sistemit të Informimit Shëndetësor 2024-2030, q</w:t>
      </w:r>
      <w:r w:rsidR="00007381" w:rsidRPr="00007381">
        <w:rPr>
          <w:rFonts w:ascii="Times New Roman" w:hAnsi="Times New Roman" w:cs="Times New Roman"/>
          <w:sz w:val="24"/>
          <w:szCs w:val="24"/>
        </w:rPr>
        <w:t>ë</w:t>
      </w:r>
      <w:r w:rsidR="00CF72AF" w:rsidRPr="00007381">
        <w:rPr>
          <w:rFonts w:ascii="Times New Roman" w:hAnsi="Times New Roman" w:cs="Times New Roman"/>
          <w:sz w:val="24"/>
          <w:szCs w:val="24"/>
        </w:rPr>
        <w:t xml:space="preserve"> tashm</w:t>
      </w:r>
      <w:r w:rsidR="00007381" w:rsidRPr="00007381">
        <w:rPr>
          <w:rFonts w:ascii="Times New Roman" w:hAnsi="Times New Roman" w:cs="Times New Roman"/>
          <w:sz w:val="24"/>
          <w:szCs w:val="24"/>
        </w:rPr>
        <w:t>ë</w:t>
      </w:r>
      <w:r w:rsidR="00CF72AF" w:rsidRPr="00007381">
        <w:rPr>
          <w:rFonts w:ascii="Times New Roman" w:hAnsi="Times New Roman" w:cs="Times New Roman"/>
          <w:sz w:val="24"/>
          <w:szCs w:val="24"/>
        </w:rPr>
        <w:t xml:space="preserve"> veçse </w:t>
      </w:r>
      <w:r w:rsidR="00007381" w:rsidRPr="00007381">
        <w:rPr>
          <w:rFonts w:ascii="Times New Roman" w:hAnsi="Times New Roman" w:cs="Times New Roman"/>
          <w:sz w:val="24"/>
          <w:szCs w:val="24"/>
        </w:rPr>
        <w:t>ë</w:t>
      </w:r>
      <w:r w:rsidR="00CF72AF" w:rsidRPr="00007381">
        <w:rPr>
          <w:rFonts w:ascii="Times New Roman" w:hAnsi="Times New Roman" w:cs="Times New Roman"/>
          <w:sz w:val="24"/>
          <w:szCs w:val="24"/>
        </w:rPr>
        <w:t>sht</w:t>
      </w:r>
      <w:r w:rsidR="00007381" w:rsidRPr="00007381">
        <w:rPr>
          <w:rFonts w:ascii="Times New Roman" w:hAnsi="Times New Roman" w:cs="Times New Roman"/>
          <w:sz w:val="24"/>
          <w:szCs w:val="24"/>
        </w:rPr>
        <w:t>ë</w:t>
      </w:r>
      <w:r w:rsidR="00CF72AF" w:rsidRPr="00007381">
        <w:rPr>
          <w:rFonts w:ascii="Times New Roman" w:hAnsi="Times New Roman" w:cs="Times New Roman"/>
          <w:sz w:val="24"/>
          <w:szCs w:val="24"/>
        </w:rPr>
        <w:t xml:space="preserve"> i </w:t>
      </w:r>
      <w:r w:rsidR="00007381" w:rsidRPr="00007381">
        <w:rPr>
          <w:rFonts w:ascii="Times New Roman" w:hAnsi="Times New Roman" w:cs="Times New Roman"/>
          <w:sz w:val="24"/>
          <w:szCs w:val="24"/>
        </w:rPr>
        <w:t>aprovuar</w:t>
      </w:r>
      <w:r w:rsidR="00CF72AF" w:rsidRPr="00007381">
        <w:rPr>
          <w:rFonts w:ascii="Times New Roman" w:hAnsi="Times New Roman" w:cs="Times New Roman"/>
          <w:sz w:val="24"/>
          <w:szCs w:val="24"/>
        </w:rPr>
        <w:t xml:space="preserve"> nga Qeveria e RKS</w:t>
      </w:r>
      <w:r w:rsidRPr="00007381">
        <w:rPr>
          <w:rFonts w:ascii="Times New Roman" w:hAnsi="Times New Roman" w:cs="Times New Roman"/>
          <w:sz w:val="24"/>
          <w:szCs w:val="24"/>
        </w:rPr>
        <w:t>.</w:t>
      </w:r>
    </w:p>
    <w:p w:rsidR="00CF72AF" w:rsidRPr="00007381" w:rsidRDefault="003E4A1F" w:rsidP="003E4A1F">
      <w:pPr>
        <w:pStyle w:val="ListParagraph"/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spacing w:before="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07381">
        <w:rPr>
          <w:rFonts w:ascii="Times New Roman" w:hAnsi="Times New Roman" w:cs="Times New Roman"/>
          <w:sz w:val="24"/>
          <w:szCs w:val="24"/>
        </w:rPr>
        <w:t xml:space="preserve">Prokurimi publik dhe menaxhimi i projekteve/kontratave – masat e kësaj fushe janë plotësuar në </w:t>
      </w:r>
      <w:proofErr w:type="spellStart"/>
      <w:r w:rsidRPr="00007381">
        <w:rPr>
          <w:rFonts w:ascii="Times New Roman" w:hAnsi="Times New Roman" w:cs="Times New Roman"/>
          <w:sz w:val="24"/>
          <w:szCs w:val="24"/>
        </w:rPr>
        <w:t>plotni</w:t>
      </w:r>
      <w:proofErr w:type="spellEnd"/>
      <w:r w:rsidR="00CF72AF" w:rsidRPr="00007381">
        <w:rPr>
          <w:rFonts w:ascii="Times New Roman" w:hAnsi="Times New Roman" w:cs="Times New Roman"/>
          <w:sz w:val="24"/>
          <w:szCs w:val="24"/>
        </w:rPr>
        <w:t xml:space="preserve"> sipas </w:t>
      </w:r>
      <w:r w:rsidR="00007381" w:rsidRPr="00007381">
        <w:rPr>
          <w:rFonts w:ascii="Times New Roman" w:hAnsi="Times New Roman" w:cs="Times New Roman"/>
          <w:sz w:val="24"/>
          <w:szCs w:val="24"/>
        </w:rPr>
        <w:t>afateve</w:t>
      </w:r>
      <w:r w:rsidR="00CF72AF" w:rsidRPr="00007381">
        <w:rPr>
          <w:rFonts w:ascii="Times New Roman" w:hAnsi="Times New Roman" w:cs="Times New Roman"/>
          <w:sz w:val="24"/>
          <w:szCs w:val="24"/>
        </w:rPr>
        <w:t>, derisa t</w:t>
      </w:r>
      <w:r w:rsidR="00007381" w:rsidRPr="00007381">
        <w:rPr>
          <w:rFonts w:ascii="Times New Roman" w:hAnsi="Times New Roman" w:cs="Times New Roman"/>
          <w:sz w:val="24"/>
          <w:szCs w:val="24"/>
        </w:rPr>
        <w:t>ë</w:t>
      </w:r>
      <w:r w:rsidR="00CF72AF" w:rsidRPr="00007381">
        <w:rPr>
          <w:rFonts w:ascii="Times New Roman" w:hAnsi="Times New Roman" w:cs="Times New Roman"/>
          <w:sz w:val="24"/>
          <w:szCs w:val="24"/>
        </w:rPr>
        <w:t xml:space="preserve"> tjerat jan</w:t>
      </w:r>
      <w:r w:rsidR="00007381" w:rsidRPr="00007381">
        <w:rPr>
          <w:rFonts w:ascii="Times New Roman" w:hAnsi="Times New Roman" w:cs="Times New Roman"/>
          <w:sz w:val="24"/>
          <w:szCs w:val="24"/>
        </w:rPr>
        <w:t>ë</w:t>
      </w:r>
      <w:r w:rsidR="00CF72AF" w:rsidRPr="00007381">
        <w:rPr>
          <w:rFonts w:ascii="Times New Roman" w:hAnsi="Times New Roman" w:cs="Times New Roman"/>
          <w:sz w:val="24"/>
          <w:szCs w:val="24"/>
        </w:rPr>
        <w:t xml:space="preserve"> n</w:t>
      </w:r>
      <w:r w:rsidR="00007381" w:rsidRPr="00007381">
        <w:rPr>
          <w:rFonts w:ascii="Times New Roman" w:hAnsi="Times New Roman" w:cs="Times New Roman"/>
          <w:sz w:val="24"/>
          <w:szCs w:val="24"/>
        </w:rPr>
        <w:t>ë</w:t>
      </w:r>
      <w:r w:rsidR="00CF72AF" w:rsidRPr="00007381">
        <w:rPr>
          <w:rFonts w:ascii="Times New Roman" w:hAnsi="Times New Roman" w:cs="Times New Roman"/>
          <w:sz w:val="24"/>
          <w:szCs w:val="24"/>
        </w:rPr>
        <w:t xml:space="preserve"> proces t</w:t>
      </w:r>
      <w:r w:rsidR="00007381" w:rsidRPr="00007381">
        <w:rPr>
          <w:rFonts w:ascii="Times New Roman" w:hAnsi="Times New Roman" w:cs="Times New Roman"/>
          <w:sz w:val="24"/>
          <w:szCs w:val="24"/>
        </w:rPr>
        <w:t>ë</w:t>
      </w:r>
      <w:r w:rsidR="00CF72AF" w:rsidRPr="00007381">
        <w:rPr>
          <w:rFonts w:ascii="Times New Roman" w:hAnsi="Times New Roman" w:cs="Times New Roman"/>
          <w:sz w:val="24"/>
          <w:szCs w:val="24"/>
        </w:rPr>
        <w:t xml:space="preserve"> zbatimit, po ashtu sipas afateve t</w:t>
      </w:r>
      <w:r w:rsidR="00007381" w:rsidRPr="00007381">
        <w:rPr>
          <w:rFonts w:ascii="Times New Roman" w:hAnsi="Times New Roman" w:cs="Times New Roman"/>
          <w:sz w:val="24"/>
          <w:szCs w:val="24"/>
        </w:rPr>
        <w:t>ë</w:t>
      </w:r>
      <w:r w:rsidR="00CF72AF" w:rsidRPr="00007381">
        <w:rPr>
          <w:rFonts w:ascii="Times New Roman" w:hAnsi="Times New Roman" w:cs="Times New Roman"/>
          <w:sz w:val="24"/>
          <w:szCs w:val="24"/>
        </w:rPr>
        <w:t xml:space="preserve"> planifikuara</w:t>
      </w:r>
      <w:r w:rsidRPr="00007381">
        <w:rPr>
          <w:rFonts w:ascii="Times New Roman" w:hAnsi="Times New Roman" w:cs="Times New Roman"/>
          <w:sz w:val="24"/>
          <w:szCs w:val="24"/>
        </w:rPr>
        <w:t>.</w:t>
      </w:r>
    </w:p>
    <w:p w:rsidR="00007381" w:rsidRPr="00007381" w:rsidRDefault="003E4A1F" w:rsidP="003E4A1F">
      <w:pPr>
        <w:pStyle w:val="ListParagraph"/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spacing w:before="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07381">
        <w:rPr>
          <w:rFonts w:ascii="Times New Roman" w:eastAsia="Calibri" w:hAnsi="Times New Roman" w:cs="Times New Roman"/>
          <w:sz w:val="24"/>
          <w:szCs w:val="24"/>
          <w:lang w:eastAsia="en-US"/>
        </w:rPr>
        <w:t>Furnizimi i branave në pjesën më të madhe të vitit ka qenë në nivel të kënaqshëm</w:t>
      </w:r>
      <w:r w:rsidR="00007381" w:rsidRPr="0000738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3E4A1F" w:rsidRPr="00007381" w:rsidRDefault="003E4A1F" w:rsidP="003E4A1F">
      <w:pPr>
        <w:pStyle w:val="ListParagraph"/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spacing w:before="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07381">
        <w:rPr>
          <w:rFonts w:ascii="Times New Roman" w:eastAsia="Calibri" w:hAnsi="Times New Roman" w:cs="Times New Roman"/>
          <w:sz w:val="24"/>
          <w:szCs w:val="24"/>
          <w:lang w:eastAsia="en-US"/>
        </w:rPr>
        <w:t>Sa i përket aktivitetit të inspektimeve realizimi i tyre ka qenë 100% në bazë të planifikimit, po ashtu edhe për inspektimet e paplanifikuara</w:t>
      </w:r>
      <w:r w:rsidR="00007381" w:rsidRPr="000073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ky përmirësim është si rezultat i rekrutimit të </w:t>
      </w:r>
      <w:r w:rsidR="00007381" w:rsidRPr="00007381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stafit</w:t>
      </w:r>
      <w:r w:rsidRPr="00007381">
        <w:rPr>
          <w:rFonts w:ascii="Times New Roman" w:eastAsia="Calibri" w:hAnsi="Times New Roman" w:cs="Times New Roman"/>
          <w:sz w:val="24"/>
          <w:szCs w:val="24"/>
          <w:lang w:eastAsia="en-US"/>
        </w:rPr>
        <w:t>, është vërejtur se ka pas inspektime në bazë të kërkesave dhe paraqitjeve të natyrave të ndryshme, përfshi edhe të atyre të sinjalizuara.</w:t>
      </w:r>
    </w:p>
    <w:p w:rsidR="003E4A1F" w:rsidRPr="00007381" w:rsidRDefault="003E4A1F" w:rsidP="003E4A1F">
      <w:pPr>
        <w:pStyle w:val="ListParagraph"/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3E4A1F" w:rsidRPr="00007381" w:rsidRDefault="003E4A1F" w:rsidP="003E4A1F">
      <w:pPr>
        <w:pStyle w:val="Heading1"/>
        <w:numPr>
          <w:ilvl w:val="0"/>
          <w:numId w:val="2"/>
        </w:numPr>
        <w:spacing w:after="24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5" w:name="_Toc171939827"/>
      <w:r w:rsidRPr="000073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Pr="00007381">
        <w:rPr>
          <w:rFonts w:ascii="Times New Roman" w:hAnsi="Times New Roman" w:cs="Times New Roman"/>
          <w:b/>
          <w:caps w:val="0"/>
          <w:color w:val="000000" w:themeColor="text1"/>
          <w:sz w:val="24"/>
          <w:szCs w:val="24"/>
        </w:rPr>
        <w:t>fidat</w:t>
      </w:r>
      <w:bookmarkEnd w:id="5"/>
    </w:p>
    <w:p w:rsidR="003E4A1F" w:rsidRPr="00007381" w:rsidRDefault="003E4A1F" w:rsidP="003E4A1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7381">
        <w:rPr>
          <w:rFonts w:ascii="Times New Roman" w:hAnsi="Times New Roman" w:cs="Times New Roman"/>
          <w:sz w:val="24"/>
          <w:szCs w:val="24"/>
        </w:rPr>
        <w:t xml:space="preserve">Për </w:t>
      </w:r>
      <w:r w:rsidR="00007381" w:rsidRPr="00007381">
        <w:rPr>
          <w:rFonts w:ascii="Times New Roman" w:hAnsi="Times New Roman" w:cs="Times New Roman"/>
          <w:sz w:val="24"/>
          <w:szCs w:val="24"/>
        </w:rPr>
        <w:t>këtë periudhë nuk ka pas vështirësi</w:t>
      </w:r>
    </w:p>
    <w:p w:rsidR="003E4A1F" w:rsidRPr="00007381" w:rsidRDefault="003E4A1F" w:rsidP="003E4A1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E4A1F" w:rsidRPr="00007381" w:rsidRDefault="003E4A1F" w:rsidP="003E4A1F">
      <w:pPr>
        <w:pStyle w:val="Heading1"/>
        <w:numPr>
          <w:ilvl w:val="0"/>
          <w:numId w:val="2"/>
        </w:numPr>
        <w:spacing w:after="24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6" w:name="_Toc171939828"/>
      <w:r w:rsidRPr="00007381">
        <w:rPr>
          <w:rFonts w:ascii="Times New Roman" w:hAnsi="Times New Roman" w:cs="Times New Roman"/>
          <w:b/>
          <w:caps w:val="0"/>
          <w:color w:val="000000" w:themeColor="text1"/>
          <w:sz w:val="24"/>
          <w:szCs w:val="24"/>
        </w:rPr>
        <w:t>Rekomandimet</w:t>
      </w:r>
      <w:bookmarkEnd w:id="6"/>
    </w:p>
    <w:p w:rsidR="003E4A1F" w:rsidRPr="00007381" w:rsidRDefault="003E4A1F" w:rsidP="003E4A1F">
      <w:pPr>
        <w:pStyle w:val="ListParagrap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3E4A1F" w:rsidRPr="00007381" w:rsidRDefault="00007381" w:rsidP="003E4A1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7381">
        <w:rPr>
          <w:rFonts w:ascii="Times New Roman" w:hAnsi="Times New Roman" w:cs="Times New Roman"/>
          <w:sz w:val="24"/>
          <w:szCs w:val="24"/>
        </w:rPr>
        <w:t>Monitorimi dhe përgatitja e raportit vjetor sipas modelit të APK</w:t>
      </w:r>
    </w:p>
    <w:p w:rsidR="00167E05" w:rsidRPr="00007381" w:rsidRDefault="00167E05">
      <w:pPr>
        <w:rPr>
          <w:rFonts w:ascii="Times New Roman" w:hAnsi="Times New Roman" w:cs="Times New Roman"/>
          <w:sz w:val="24"/>
          <w:szCs w:val="24"/>
        </w:rPr>
      </w:pPr>
    </w:p>
    <w:sectPr w:rsidR="00167E05" w:rsidRPr="00007381" w:rsidSect="00C019CB">
      <w:headerReference w:type="default" r:id="rId14"/>
      <w:footerReference w:type="default" r:id="rId15"/>
      <w:pgSz w:w="11907" w:h="16840" w:code="9"/>
      <w:pgMar w:top="1530" w:right="1197" w:bottom="32" w:left="1418" w:header="624" w:footer="624" w:gutter="0"/>
      <w:pgBorders w:offsetFrom="page">
        <w:top w:val="single" w:sz="4" w:space="24" w:color="70AD47" w:themeColor="accent6"/>
        <w:left w:val="single" w:sz="4" w:space="24" w:color="70AD47" w:themeColor="accent6"/>
        <w:bottom w:val="single" w:sz="4" w:space="24" w:color="70AD47" w:themeColor="accent6"/>
        <w:right w:val="single" w:sz="4" w:space="24" w:color="70AD47" w:themeColor="accent6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AF6" w:rsidRDefault="00E71AF6">
      <w:pPr>
        <w:spacing w:before="0" w:after="0" w:line="240" w:lineRule="auto"/>
      </w:pPr>
      <w:r>
        <w:separator/>
      </w:r>
    </w:p>
  </w:endnote>
  <w:endnote w:type="continuationSeparator" w:id="0">
    <w:p w:rsidR="00E71AF6" w:rsidRDefault="00E71AF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F9B" w:rsidRDefault="00E71A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F9B" w:rsidRDefault="00E71A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F9B" w:rsidRDefault="00E71AF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F3" w:rsidRDefault="003E4A1F">
    <w:pPr>
      <w:pStyle w:val="Footer"/>
    </w:pPr>
    <w:r>
      <w:t xml:space="preserve">Faqe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AF6" w:rsidRDefault="00E71AF6">
      <w:pPr>
        <w:spacing w:before="0" w:after="0" w:line="240" w:lineRule="auto"/>
      </w:pPr>
      <w:r>
        <w:separator/>
      </w:r>
    </w:p>
  </w:footnote>
  <w:footnote w:type="continuationSeparator" w:id="0">
    <w:p w:rsidR="00E71AF6" w:rsidRDefault="00E71AF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F3" w:rsidRDefault="003E4A1F">
    <w:pPr>
      <w:pStyle w:val="Header"/>
    </w:pPr>
    <w:r>
      <w:rPr>
        <w:noProof/>
        <w:lang w:eastAsia="sq-AL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9964780" wp14:editId="4541F49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49950" cy="270510"/>
              <wp:effectExtent l="0" t="0" r="0" b="0"/>
              <wp:wrapSquare wrapText="bothSides"/>
              <wp:docPr id="19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9950" cy="270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3466604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786FF3" w:rsidRDefault="00007381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Raporti i pLanit të integritetit institucional                    ministria e shëndetësisë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9964780" id="Rectangle 197" o:spid="_x0000_s1027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qRngIAALAFAAAOAAAAZHJzL2Uyb0RvYy54bWysVG1r2zAQ/j7YfxD6vtoOybqYOiW0dAxC&#10;V9qOflZkKTaTdZqkxM5+/U7yS7O2bDDmD0ane+7t0d1dXHaNIgdhXQ26oNlZSonQHMpa7wr67fHm&#10;wydKnGe6ZAq0KOhROHq5ev/uojW5mEEFqhSWoBPt8tYUtPLe5EnieCUa5s7ACI1KCbZhHkW7S0rL&#10;WvTeqGSWph+TFmxpLHDhHN5e90q6iv6lFNx/ldIJT1RBMTcf/zb+t+GfrC5YvrPMVDUf0mD/kEXD&#10;ao1BJ1fXzDOyt/UrV03NLTiQ/oxDk4CUNRexBqwmS19U81AxI2ItSI4zE03u/7nlt4c7S+oS3255&#10;TolmDT7SPdLG9E4JEi6Rota4HJEP5s6GIp3ZAP/uUJH8pgmCGzCdtE3AYomki3wfJ75F5wnHy8Vy&#10;vlwu8Fk46mbn6SKLD5KwfLQ21vnPAhoSDgW1mFikmR02zof4LB8hMTFQdXlTKxWF0EPiSllyYPj6&#10;jHOhfRbKQSt3ilQ64DUEy14dbmJtfTmxMH9UIuCUvhcSKcMCZjGZ2KyvA8UcKlaKPv4ixW+MPqYW&#10;c4kOA1pi/Ml39ifffZYDPpiK2OuTcfp348kiRgbtJ+Om1mDfcqAm+mSPH0nqqQks+W7bYXLhuIXy&#10;iL1loR86Z/hNja+4Yc7fMYtThg+Pm8N/xZ9U0BYUhhMlFdifb90HPDY/ailpcWoL6n7smRWUqC8a&#10;x2KZzedhzKMwX5zPULCnmu2pRu+bK8DWyHBHGR6PAe/VeJQWmidcMOsQFVVMc4xdUO7tKFz5fpvg&#10;iuJivY4wHG3D/EY/GB6cB4JDlz52T8yaoZU9DsEtjBPO8hcd3WODpTPrvcfWjO3+zOtAPa6F2EPD&#10;Cgt751SOqOdFu/oFAAD//wMAUEsDBBQABgAIAAAAIQCXt0db3AAAAAQBAAAPAAAAZHJzL2Rvd25y&#10;ZXYueG1sTI+xTsNAEER7JP7htEg0KDkTogSMz1EEQihFCkwauo1vYxt8e8Z3ic3fs9BAM9JoVjNv&#10;s9XoWnWiPjSeDVxPE1DEpbcNVwZ2r0+TW1AhIltsPZOBLwqwys/PMkytH/iFTkWslJRwSNFAHWOX&#10;ah3KmhyGqe+IJTv43mEU21fa9jhIuWv1LEkW2mHDslBjRw81lR/F0RlYu8/CDvPNttk9luHt6v35&#10;sCnYmMuLcX0PKtIY/47hB1/QIRemvT+yDao1II/EX5Xs7mYpdm9gPluAzjP9Hz7/BgAA//8DAFBL&#10;AQItABQABgAIAAAAIQC2gziS/gAAAOEBAAATAAAAAAAAAAAAAAAAAAAAAABbQ29udGVudF9UeXBl&#10;c10ueG1sUEsBAi0AFAAGAAgAAAAhADj9If/WAAAAlAEAAAsAAAAAAAAAAAAAAAAALwEAAF9yZWxz&#10;Ly5yZWxzUEsBAi0AFAAGAAgAAAAhAIkAypGeAgAAsAUAAA4AAAAAAAAAAAAAAAAALgIAAGRycy9l&#10;Mm9Eb2MueG1sUEsBAi0AFAAGAAgAAAAhAJe3R1vcAAAABAEAAA8AAAAAAAAAAAAAAAAA+AQAAGRy&#10;cy9kb3ducmV2LnhtbFBLBQYAAAAABAAEAPMAAAABBgAAAAA=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346660430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786FF3" w:rsidRDefault="00007381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Raporti i pLanit të integritetit institucional                    ministria e shëndetësisë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F3" w:rsidRDefault="00E71AF6" w:rsidP="00267320">
    <w:pPr>
      <w:pStyle w:val="HeaderShaded"/>
      <w:tabs>
        <w:tab w:val="center" w:pos="4565"/>
      </w:tabs>
      <w:ind w:left="0" w:right="-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F9B" w:rsidRDefault="00E71AF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F3" w:rsidRDefault="00E71AF6" w:rsidP="00267320">
    <w:pPr>
      <w:pStyle w:val="HeaderShaded"/>
      <w:ind w:left="0" w:right="-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621A9"/>
    <w:multiLevelType w:val="hybridMultilevel"/>
    <w:tmpl w:val="340621AC"/>
    <w:lvl w:ilvl="0" w:tplc="1602C0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A16E4"/>
    <w:multiLevelType w:val="hybridMultilevel"/>
    <w:tmpl w:val="D73E01E8"/>
    <w:lvl w:ilvl="0" w:tplc="D9925928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A76DBE"/>
    <w:multiLevelType w:val="hybridMultilevel"/>
    <w:tmpl w:val="BCE06FF4"/>
    <w:lvl w:ilvl="0" w:tplc="BD0C17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41121B"/>
    <w:multiLevelType w:val="hybridMultilevel"/>
    <w:tmpl w:val="7D7A141A"/>
    <w:lvl w:ilvl="0" w:tplc="D992592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1F"/>
    <w:rsid w:val="00007381"/>
    <w:rsid w:val="00103196"/>
    <w:rsid w:val="00167E05"/>
    <w:rsid w:val="003E4A1F"/>
    <w:rsid w:val="00CB2BB5"/>
    <w:rsid w:val="00CF72AF"/>
    <w:rsid w:val="00D41554"/>
    <w:rsid w:val="00E71AF6"/>
    <w:rsid w:val="00EA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BD2AE"/>
  <w15:chartTrackingRefBased/>
  <w15:docId w15:val="{2EC79335-4299-4442-8694-E9C4A9CD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A1F"/>
    <w:pPr>
      <w:spacing w:before="100" w:after="200" w:line="276" w:lineRule="auto"/>
    </w:pPr>
    <w:rPr>
      <w:rFonts w:eastAsiaTheme="minorEastAsia"/>
      <w:sz w:val="20"/>
      <w:szCs w:val="20"/>
      <w:lang w:val="sq-AL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4A1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A1F"/>
    <w:rPr>
      <w:rFonts w:eastAsiaTheme="minorEastAsia"/>
      <w:caps/>
      <w:color w:val="FFFFFF" w:themeColor="background1"/>
      <w:spacing w:val="15"/>
      <w:shd w:val="clear" w:color="auto" w:fill="4472C4" w:themeFill="accent1"/>
      <w:lang w:val="sq-AL" w:eastAsia="ja-JP"/>
    </w:rPr>
  </w:style>
  <w:style w:type="paragraph" w:styleId="Header">
    <w:name w:val="header"/>
    <w:basedOn w:val="Normal"/>
    <w:link w:val="HeaderChar"/>
    <w:uiPriority w:val="99"/>
    <w:unhideWhenUsed/>
    <w:rsid w:val="003E4A1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A1F"/>
    <w:rPr>
      <w:rFonts w:eastAsiaTheme="minorEastAsia"/>
      <w:sz w:val="20"/>
      <w:szCs w:val="20"/>
      <w:lang w:val="sq-AL" w:eastAsia="ja-JP"/>
    </w:rPr>
  </w:style>
  <w:style w:type="paragraph" w:styleId="Footer">
    <w:name w:val="footer"/>
    <w:basedOn w:val="Normal"/>
    <w:link w:val="FooterChar"/>
    <w:uiPriority w:val="99"/>
    <w:unhideWhenUsed/>
    <w:rsid w:val="003E4A1F"/>
    <w:pPr>
      <w:pBdr>
        <w:top w:val="single" w:sz="4" w:space="6" w:color="8EAADB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sid w:val="003E4A1F"/>
    <w:rPr>
      <w:rFonts w:eastAsiaTheme="minorEastAsia"/>
      <w:sz w:val="20"/>
      <w:szCs w:val="20"/>
      <w:lang w:val="sq-AL"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3E4A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E4A1F"/>
    <w:rPr>
      <w:rFonts w:eastAsiaTheme="minorEastAsia"/>
      <w:sz w:val="20"/>
      <w:szCs w:val="20"/>
      <w:lang w:val="sq-AL" w:eastAsia="ja-JP"/>
    </w:rPr>
  </w:style>
  <w:style w:type="character" w:styleId="Hyperlink">
    <w:name w:val="Hyperlink"/>
    <w:basedOn w:val="DefaultParagraphFont"/>
    <w:uiPriority w:val="99"/>
    <w:unhideWhenUsed/>
    <w:rsid w:val="003E4A1F"/>
    <w:rPr>
      <w:color w:val="0563C1" w:themeColor="hyperlink"/>
      <w:u w:val="single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,lp1"/>
    <w:basedOn w:val="Normal"/>
    <w:link w:val="ListParagraphChar"/>
    <w:uiPriority w:val="34"/>
    <w:qFormat/>
    <w:rsid w:val="003E4A1F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3E4A1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4A1F"/>
    <w:rPr>
      <w:rFonts w:eastAsiaTheme="minorEastAsia"/>
      <w:caps/>
      <w:color w:val="595959" w:themeColor="text1" w:themeTint="A6"/>
      <w:spacing w:val="10"/>
      <w:sz w:val="21"/>
      <w:szCs w:val="21"/>
      <w:lang w:val="sq-AL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3E4A1F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4A1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  <w:lang w:val="sq-AL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E4A1F"/>
    <w:pPr>
      <w:tabs>
        <w:tab w:val="right" w:leader="underscore" w:pos="9090"/>
      </w:tabs>
      <w:spacing w:after="100"/>
    </w:pPr>
    <w:rPr>
      <w:rFonts w:ascii="Book Antiqua" w:hAnsi="Book Antiqua"/>
      <w:color w:val="7F7F7F" w:themeColor="text1" w:themeTint="80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E4A1F"/>
    <w:pPr>
      <w:outlineLvl w:val="9"/>
    </w:pPr>
  </w:style>
  <w:style w:type="paragraph" w:customStyle="1" w:styleId="HeaderShaded">
    <w:name w:val="Header Shaded"/>
    <w:basedOn w:val="Normal"/>
    <w:uiPriority w:val="19"/>
    <w:rsid w:val="003E4A1F"/>
    <w:pPr>
      <w:pBdr>
        <w:top w:val="single" w:sz="2" w:space="2" w:color="4472C4" w:themeColor="accent1"/>
        <w:left w:val="single" w:sz="2" w:space="6" w:color="4472C4" w:themeColor="accent1"/>
        <w:bottom w:val="single" w:sz="2" w:space="2" w:color="4472C4" w:themeColor="accent1"/>
        <w:right w:val="single" w:sz="2" w:space="6" w:color="4472C4" w:themeColor="accent1"/>
      </w:pBdr>
      <w:shd w:val="clear" w:color="auto" w:fill="4472C4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basedOn w:val="DefaultParagraphFont"/>
    <w:link w:val="ListParagraph"/>
    <w:uiPriority w:val="34"/>
    <w:rsid w:val="003E4A1F"/>
    <w:rPr>
      <w:rFonts w:eastAsiaTheme="minorEastAsia"/>
      <w:sz w:val="20"/>
      <w:szCs w:val="20"/>
      <w:lang w:val="sq-AL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Raporti i pLanit tw integritetit institucional                   ministria e shëndetësisë</vt:lpstr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Raporti i pLanit të integritetit institucional                    ministria e shëndetësisë</dc:title>
  <dc:subject/>
  <dc:creator>Lulzim Uka</dc:creator>
  <cp:keywords/>
  <dc:description/>
  <cp:lastModifiedBy>Lulzim Uka</cp:lastModifiedBy>
  <cp:revision>3</cp:revision>
  <dcterms:created xsi:type="dcterms:W3CDTF">2024-07-15T10:13:00Z</dcterms:created>
  <dcterms:modified xsi:type="dcterms:W3CDTF">2024-07-15T10:44:00Z</dcterms:modified>
</cp:coreProperties>
</file>