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EA811" w14:textId="77777777" w:rsidR="00984E3D" w:rsidRPr="003D5195" w:rsidRDefault="00984E3D" w:rsidP="00984E3D">
      <w:pPr>
        <w:tabs>
          <w:tab w:val="left" w:pos="1410"/>
        </w:tabs>
        <w:jc w:val="center"/>
        <w:outlineLvl w:val="0"/>
        <w:rPr>
          <w:b/>
          <w:sz w:val="30"/>
          <w:szCs w:val="30"/>
        </w:rPr>
      </w:pPr>
      <w:r w:rsidRPr="003D5195">
        <w:rPr>
          <w:b/>
          <w:sz w:val="30"/>
          <w:szCs w:val="30"/>
        </w:rPr>
        <w:t>Request for Expression of Interest</w:t>
      </w:r>
    </w:p>
    <w:p w14:paraId="55924E65" w14:textId="77777777" w:rsidR="00984E3D" w:rsidRPr="003D5195" w:rsidRDefault="00984E3D" w:rsidP="00984E3D">
      <w:pPr>
        <w:tabs>
          <w:tab w:val="left" w:pos="1410"/>
        </w:tabs>
        <w:jc w:val="center"/>
        <w:outlineLvl w:val="0"/>
        <w:rPr>
          <w:sz w:val="6"/>
          <w:szCs w:val="6"/>
        </w:rPr>
      </w:pPr>
    </w:p>
    <w:p w14:paraId="68D657B3" w14:textId="77777777" w:rsidR="00984E3D" w:rsidRPr="003D5195" w:rsidRDefault="00984E3D" w:rsidP="00984E3D">
      <w:pPr>
        <w:tabs>
          <w:tab w:val="right" w:pos="9360"/>
        </w:tabs>
        <w:suppressAutoHyphens/>
        <w:rPr>
          <w:rFonts w:ascii="CG Times" w:hAnsi="CG Times"/>
          <w:spacing w:val="-3"/>
          <w:sz w:val="12"/>
          <w:szCs w:val="12"/>
        </w:rPr>
      </w:pPr>
    </w:p>
    <w:p w14:paraId="01EF5429" w14:textId="77777777" w:rsidR="00984E3D" w:rsidRPr="00470AE0" w:rsidRDefault="00984E3D" w:rsidP="00984E3D">
      <w:pPr>
        <w:tabs>
          <w:tab w:val="right" w:pos="9360"/>
        </w:tabs>
        <w:suppressAutoHyphens/>
        <w:rPr>
          <w:spacing w:val="-3"/>
        </w:rPr>
      </w:pPr>
      <w:r w:rsidRPr="00470AE0">
        <w:rPr>
          <w:spacing w:val="-3"/>
        </w:rPr>
        <w:t xml:space="preserve">Country: Kosovo                            </w:t>
      </w:r>
    </w:p>
    <w:p w14:paraId="557C4C1C" w14:textId="26D50EB3" w:rsidR="00984E3D" w:rsidRPr="00470AE0" w:rsidRDefault="004B26D4" w:rsidP="00984E3D">
      <w:pPr>
        <w:tabs>
          <w:tab w:val="right" w:pos="9360"/>
        </w:tabs>
        <w:suppressAutoHyphens/>
        <w:rPr>
          <w:spacing w:val="-3"/>
        </w:rPr>
      </w:pPr>
      <w:r w:rsidRPr="00470AE0">
        <w:rPr>
          <w:spacing w:val="-3"/>
        </w:rPr>
        <w:t>Project ID: P179831</w:t>
      </w:r>
    </w:p>
    <w:p w14:paraId="1C80B641" w14:textId="465CE83E" w:rsidR="00984E3D" w:rsidRPr="00470AE0" w:rsidRDefault="00984E3D" w:rsidP="00984E3D">
      <w:pPr>
        <w:tabs>
          <w:tab w:val="left" w:pos="1410"/>
        </w:tabs>
        <w:outlineLvl w:val="0"/>
        <w:rPr>
          <w:spacing w:val="-3"/>
        </w:rPr>
      </w:pPr>
      <w:r w:rsidRPr="00470AE0">
        <w:rPr>
          <w:spacing w:val="-3"/>
        </w:rPr>
        <w:t xml:space="preserve">World Bank Credit Name: </w:t>
      </w:r>
      <w:r w:rsidR="004B26D4" w:rsidRPr="00470AE0">
        <w:rPr>
          <w:spacing w:val="-3"/>
        </w:rPr>
        <w:t>Kosovo Comprehensive Approach to Health System Strengthening Project</w:t>
      </w:r>
    </w:p>
    <w:p w14:paraId="10DC8B32" w14:textId="14CF4141" w:rsidR="00984E3D" w:rsidRDefault="00984E3D" w:rsidP="00173F83">
      <w:pPr>
        <w:tabs>
          <w:tab w:val="right" w:pos="9360"/>
        </w:tabs>
        <w:suppressAutoHyphens/>
        <w:rPr>
          <w:spacing w:val="-3"/>
        </w:rPr>
      </w:pPr>
      <w:r w:rsidRPr="00470AE0">
        <w:rPr>
          <w:spacing w:val="-3"/>
        </w:rPr>
        <w:t xml:space="preserve">Contract Identification No.: </w:t>
      </w:r>
      <w:r w:rsidR="004B26D4" w:rsidRPr="00470AE0">
        <w:rPr>
          <w:spacing w:val="-3"/>
        </w:rPr>
        <w:t>XK-MoH-A1.03-CS-Q</w:t>
      </w:r>
      <w:r w:rsidR="00376DD9" w:rsidRPr="00470AE0">
        <w:rPr>
          <w:spacing w:val="-3"/>
        </w:rPr>
        <w:t>C</w:t>
      </w:r>
      <w:r w:rsidR="004B26D4" w:rsidRPr="00470AE0">
        <w:rPr>
          <w:spacing w:val="-3"/>
        </w:rPr>
        <w:t>B</w:t>
      </w:r>
      <w:r w:rsidR="00376DD9" w:rsidRPr="00470AE0">
        <w:rPr>
          <w:spacing w:val="-3"/>
        </w:rPr>
        <w:t>S</w:t>
      </w:r>
    </w:p>
    <w:p w14:paraId="6E07102F" w14:textId="6A22F795" w:rsidR="00220289" w:rsidRPr="00220289" w:rsidRDefault="00220289" w:rsidP="00173F83">
      <w:pPr>
        <w:tabs>
          <w:tab w:val="right" w:pos="9360"/>
        </w:tabs>
        <w:suppressAutoHyphens/>
        <w:rPr>
          <w:b/>
          <w:spacing w:val="-3"/>
        </w:rPr>
      </w:pPr>
      <w:r w:rsidRPr="00220289">
        <w:rPr>
          <w:b/>
          <w:spacing w:val="-3"/>
        </w:rPr>
        <w:t>Issued on: 15 May 2026</w:t>
      </w:r>
      <w:bookmarkStart w:id="0" w:name="_GoBack"/>
      <w:bookmarkEnd w:id="0"/>
    </w:p>
    <w:p w14:paraId="77D4BDC0" w14:textId="77777777" w:rsidR="00984E3D" w:rsidRPr="003D5195" w:rsidRDefault="00984E3D" w:rsidP="00984E3D">
      <w:pPr>
        <w:jc w:val="center"/>
        <w:rPr>
          <w:b/>
          <w:color w:val="000000"/>
          <w:lang w:val="en-GB"/>
        </w:rPr>
      </w:pPr>
    </w:p>
    <w:p w14:paraId="37805E9E" w14:textId="5DE12475" w:rsidR="00984E3D" w:rsidRPr="003D5195" w:rsidRDefault="004B26D4" w:rsidP="00AE0650">
      <w:pPr>
        <w:jc w:val="center"/>
        <w:rPr>
          <w:b/>
        </w:rPr>
      </w:pPr>
      <w:r w:rsidRPr="004B26D4">
        <w:rPr>
          <w:b/>
        </w:rPr>
        <w:t>Strategic Digital Health Partner (SDHP) for IHIS Implementation Oversight and Technical Advisory</w:t>
      </w:r>
    </w:p>
    <w:p w14:paraId="52BAB494" w14:textId="77777777" w:rsidR="00984E3D" w:rsidRPr="003D5195" w:rsidRDefault="00984E3D" w:rsidP="00984E3D">
      <w:pPr>
        <w:rPr>
          <w:b/>
        </w:rPr>
      </w:pPr>
    </w:p>
    <w:p w14:paraId="44C4240E" w14:textId="1AE93494" w:rsidR="00984E3D" w:rsidRPr="00AE0650" w:rsidRDefault="00984E3D" w:rsidP="008442B3">
      <w:pPr>
        <w:spacing w:before="240" w:after="240"/>
        <w:rPr>
          <w:b/>
          <w:sz w:val="22"/>
          <w:szCs w:val="22"/>
        </w:rPr>
      </w:pPr>
      <w:r w:rsidRPr="00AE0650">
        <w:rPr>
          <w:b/>
          <w:sz w:val="22"/>
          <w:szCs w:val="22"/>
        </w:rPr>
        <w:t>Background</w:t>
      </w:r>
    </w:p>
    <w:p w14:paraId="15E45B78" w14:textId="242E8D57" w:rsidR="007C1C8C" w:rsidRDefault="007C1C8C" w:rsidP="007C1C8C">
      <w:pPr>
        <w:pStyle w:val="NormalWeb"/>
        <w:spacing w:before="0" w:beforeAutospacing="0" w:after="120" w:afterAutospacing="0"/>
        <w:jc w:val="both"/>
      </w:pPr>
      <w:bookmarkStart w:id="1" w:name="_Ref147827080"/>
      <w:r>
        <w:t>The Government of Kosovo (GoK), through the Ministry of Health (MoH), has received financing from the World Bank in the amount of EUR 20 million to support the Kosovo Comprehensive Approach to Health System Strengthening Project (KOMPAS). This project aims to strengthen governance, quality of care, and efficiency in the healthcare system of Kosovo, positioning digital health as a core pillar of reform. The Integrated Health Information System (IHIS) will play a central role in this transformation.</w:t>
      </w:r>
    </w:p>
    <w:p w14:paraId="04C08ED8" w14:textId="5706343E" w:rsidR="008442B3" w:rsidRDefault="007C1C8C" w:rsidP="007C1C8C">
      <w:pPr>
        <w:pStyle w:val="NormalWeb"/>
        <w:spacing w:before="0" w:beforeAutospacing="0" w:after="120" w:afterAutospacing="0"/>
        <w:jc w:val="both"/>
      </w:pPr>
      <w:r>
        <w:t>The Department for Health Information Systems (DSISH), under the Ministry of Health (MoH), is responsible for the implementation of IHIS. To ensure successful implementation and oversight of this large-scale transformation, a Strategic Digital Health Partner (SDHP) will be engaged. The SDHP will provide technical advisory, implementation oversight, quality assurance, and support in the development of technical documents and specifications for the systems required under the KOMPAS project.</w:t>
      </w:r>
    </w:p>
    <w:p w14:paraId="240F05BE" w14:textId="63C19405" w:rsidR="009A2112" w:rsidRDefault="009A2112" w:rsidP="007C1C8C">
      <w:pPr>
        <w:pStyle w:val="NormalWeb"/>
        <w:spacing w:before="0" w:beforeAutospacing="0" w:after="120" w:afterAutospacing="0"/>
        <w:jc w:val="both"/>
      </w:pPr>
      <w:r>
        <w:t>For clarity, the SDHP is defined strictly as a technical advisory and oversight partner. The SDHP is NOT an implementation vendor and does NOT have decision-making authority for procurement processes.</w:t>
      </w:r>
    </w:p>
    <w:p w14:paraId="06EAD3F2" w14:textId="1EA00946" w:rsidR="00984E3D" w:rsidRPr="00DE5A94" w:rsidRDefault="008B4EAA" w:rsidP="008442B3">
      <w:pPr>
        <w:spacing w:before="240" w:after="240"/>
        <w:rPr>
          <w:b/>
          <w:lang w:eastAsia="fr-FR"/>
        </w:rPr>
      </w:pPr>
      <w:r w:rsidRPr="00DE5A94">
        <w:rPr>
          <w:b/>
          <w:lang w:eastAsia="fr-FR"/>
        </w:rPr>
        <w:t>Objective of the Assignment</w:t>
      </w:r>
      <w:r w:rsidR="00AE0650" w:rsidRPr="00DE5A94">
        <w:rPr>
          <w:b/>
          <w:lang w:eastAsia="fr-FR"/>
        </w:rPr>
        <w:t>:</w:t>
      </w:r>
    </w:p>
    <w:p w14:paraId="335222EE" w14:textId="635CC6F2" w:rsidR="00AE0650" w:rsidRPr="00DE5A94" w:rsidRDefault="007C1C8C" w:rsidP="00DE5A94">
      <w:pPr>
        <w:spacing w:after="120"/>
        <w:jc w:val="both"/>
      </w:pPr>
      <w:r w:rsidRPr="00DE5A94">
        <w:t>The primary objective of this engagement is to ensure the successful implementation of the IHIS and its components, including the establishment of core systems such as national registries, shared health records, interoperability layers, and advanced clinical applications. The SDHP will support the Ministry of Health and DSISH in ensuring that all components comply with international standards and that all deliverables are aligned with the Kosovo Digital Health Blueprint</w:t>
      </w:r>
      <w:r w:rsidR="008442B3" w:rsidRPr="00DE5A94">
        <w:t>.</w:t>
      </w:r>
    </w:p>
    <w:p w14:paraId="54A59EA4" w14:textId="77777777" w:rsidR="007C1C8C" w:rsidRPr="00DE5A94" w:rsidRDefault="007C1C8C" w:rsidP="007C1C8C">
      <w:pPr>
        <w:spacing w:before="100" w:beforeAutospacing="1" w:after="100" w:afterAutospacing="1"/>
        <w:outlineLvl w:val="2"/>
        <w:rPr>
          <w:b/>
          <w:bCs/>
        </w:rPr>
      </w:pPr>
      <w:r w:rsidRPr="00DE5A94">
        <w:rPr>
          <w:b/>
          <w:bCs/>
        </w:rPr>
        <w:t>Key Tasks and Responsibilities</w:t>
      </w:r>
    </w:p>
    <w:p w14:paraId="70C3DC42" w14:textId="77777777" w:rsidR="007C1C8C" w:rsidRPr="007C1C8C" w:rsidRDefault="007C1C8C" w:rsidP="007C1C8C">
      <w:pPr>
        <w:spacing w:before="100" w:beforeAutospacing="1" w:after="100" w:afterAutospacing="1"/>
      </w:pPr>
      <w:r w:rsidRPr="007C1C8C">
        <w:t>The SDHP will perform the following tasks:</w:t>
      </w:r>
    </w:p>
    <w:p w14:paraId="24E5B249" w14:textId="77777777" w:rsidR="007C1C8C" w:rsidRPr="007C1C8C" w:rsidRDefault="007C1C8C" w:rsidP="00CE2360">
      <w:pPr>
        <w:numPr>
          <w:ilvl w:val="0"/>
          <w:numId w:val="2"/>
        </w:numPr>
        <w:spacing w:before="100" w:beforeAutospacing="1" w:after="100" w:afterAutospacing="1"/>
      </w:pPr>
      <w:r w:rsidRPr="007C1C8C">
        <w:t>Conduct a comprehensive assessment of existing health information systems to identify gaps and propose integration plans.</w:t>
      </w:r>
    </w:p>
    <w:p w14:paraId="1AF559FD" w14:textId="77777777" w:rsidR="007C1C8C" w:rsidRPr="007C1C8C" w:rsidRDefault="007C1C8C" w:rsidP="00CE2360">
      <w:pPr>
        <w:numPr>
          <w:ilvl w:val="0"/>
          <w:numId w:val="2"/>
        </w:numPr>
        <w:spacing w:before="100" w:beforeAutospacing="1" w:after="100" w:afterAutospacing="1"/>
      </w:pPr>
      <w:r w:rsidRPr="007C1C8C">
        <w:lastRenderedPageBreak/>
        <w:t>Validate the IHIS architecture against the Kosovo Digital Health Blueprint and international standards (FHIR, IHE).</w:t>
      </w:r>
    </w:p>
    <w:p w14:paraId="5189EC9E" w14:textId="77777777" w:rsidR="007C1C8C" w:rsidRPr="007C1C8C" w:rsidRDefault="007C1C8C" w:rsidP="00CE2360">
      <w:pPr>
        <w:numPr>
          <w:ilvl w:val="0"/>
          <w:numId w:val="2"/>
        </w:numPr>
        <w:spacing w:before="100" w:beforeAutospacing="1" w:after="100" w:afterAutospacing="1"/>
      </w:pPr>
      <w:r w:rsidRPr="007C1C8C">
        <w:t>Prepare and review Terms of Reference and technical specifications for IHIS components and integration points, such as interoperability layers, registries, shared health records, and clinical applications.</w:t>
      </w:r>
    </w:p>
    <w:p w14:paraId="33473B99" w14:textId="77777777" w:rsidR="007C1C8C" w:rsidRPr="007C1C8C" w:rsidRDefault="007C1C8C" w:rsidP="00CE2360">
      <w:pPr>
        <w:numPr>
          <w:ilvl w:val="0"/>
          <w:numId w:val="2"/>
        </w:numPr>
        <w:spacing w:before="100" w:beforeAutospacing="1" w:after="100" w:afterAutospacing="1"/>
      </w:pPr>
      <w:r w:rsidRPr="007C1C8C">
        <w:t>Provide oversight of vendor implementations to ensure compliance with contracts, technical specifications, and standards, and review vendor deliverables.</w:t>
      </w:r>
    </w:p>
    <w:p w14:paraId="4EC61A06" w14:textId="77777777" w:rsidR="007C1C8C" w:rsidRPr="007C1C8C" w:rsidRDefault="007C1C8C" w:rsidP="00CE2360">
      <w:pPr>
        <w:numPr>
          <w:ilvl w:val="0"/>
          <w:numId w:val="2"/>
        </w:numPr>
        <w:spacing w:before="100" w:beforeAutospacing="1" w:after="100" w:afterAutospacing="1"/>
      </w:pPr>
      <w:r w:rsidRPr="007C1C8C">
        <w:t>Develop and implement quality assurance (QA) and quality control (QC) frameworks for all IHIS components.</w:t>
      </w:r>
    </w:p>
    <w:p w14:paraId="20E12FEC" w14:textId="77777777" w:rsidR="007C1C8C" w:rsidRPr="007C1C8C" w:rsidRDefault="007C1C8C" w:rsidP="00CE2360">
      <w:pPr>
        <w:numPr>
          <w:ilvl w:val="0"/>
          <w:numId w:val="2"/>
        </w:numPr>
        <w:spacing w:before="100" w:beforeAutospacing="1" w:after="100" w:afterAutospacing="1"/>
      </w:pPr>
      <w:r w:rsidRPr="007C1C8C">
        <w:t>Design and support the execution of interoperability tests to ensure full compliance with standards.</w:t>
      </w:r>
    </w:p>
    <w:p w14:paraId="79F83F1B" w14:textId="77777777" w:rsidR="007C1C8C" w:rsidRPr="007C1C8C" w:rsidRDefault="007C1C8C" w:rsidP="00CE2360">
      <w:pPr>
        <w:numPr>
          <w:ilvl w:val="0"/>
          <w:numId w:val="2"/>
        </w:numPr>
        <w:spacing w:before="100" w:beforeAutospacing="1" w:after="100" w:afterAutospacing="1"/>
      </w:pPr>
      <w:r w:rsidRPr="007C1C8C">
        <w:t>Draft rules for data governance and alignment with international best practices.</w:t>
      </w:r>
    </w:p>
    <w:p w14:paraId="4399EEDC" w14:textId="77777777" w:rsidR="007C1C8C" w:rsidRPr="007C1C8C" w:rsidRDefault="007C1C8C" w:rsidP="00CE2360">
      <w:pPr>
        <w:numPr>
          <w:ilvl w:val="0"/>
          <w:numId w:val="2"/>
        </w:numPr>
        <w:spacing w:before="100" w:beforeAutospacing="1" w:after="100" w:afterAutospacing="1"/>
      </w:pPr>
      <w:r w:rsidRPr="007C1C8C">
        <w:t>Assess and enhance the cybersecurity architecture to ensure data security and privacy compliance.</w:t>
      </w:r>
    </w:p>
    <w:p w14:paraId="036D5819" w14:textId="7142CD1A" w:rsidR="007C1C8C" w:rsidRPr="007C1C8C" w:rsidRDefault="007C1C8C" w:rsidP="00CE2360">
      <w:pPr>
        <w:numPr>
          <w:ilvl w:val="0"/>
          <w:numId w:val="2"/>
        </w:numPr>
      </w:pPr>
      <w:r w:rsidRPr="007C1C8C">
        <w:t xml:space="preserve">Support the Project Implementation Unit (PIU) </w:t>
      </w:r>
      <w:r w:rsidR="003A69C4">
        <w:t>,</w:t>
      </w:r>
      <w:r w:rsidRPr="007C1C8C">
        <w:t xml:space="preserve"> MoH </w:t>
      </w:r>
      <w:r w:rsidR="003A69C4">
        <w:t xml:space="preserve">and MDPA </w:t>
      </w:r>
      <w:r w:rsidRPr="007C1C8C">
        <w:t>with reporting, technical documentation, and monitoring progress.</w:t>
      </w:r>
    </w:p>
    <w:p w14:paraId="14D97952" w14:textId="359F1EC9" w:rsidR="007C1C8C" w:rsidRDefault="007C1C8C" w:rsidP="00BE5CF8">
      <w:pPr>
        <w:spacing w:before="120"/>
        <w:jc w:val="both"/>
      </w:pPr>
      <w:r w:rsidRPr="007C1C8C">
        <w:t>Other specific tasks, scope of services, expected outputs/deliverables, time frames, and professional staff requirements are indicated under the full Terms of Reference (ToR) for this assignment.</w:t>
      </w:r>
    </w:p>
    <w:p w14:paraId="346CCD2D" w14:textId="762298C5" w:rsidR="006B5063" w:rsidRPr="007C1C8C" w:rsidRDefault="006B5063" w:rsidP="00BE5CF8">
      <w:pPr>
        <w:spacing w:before="120"/>
        <w:jc w:val="both"/>
      </w:pPr>
      <w:r w:rsidRPr="006B5063">
        <w:t>The detailed Terms of Reference (ToR) for the assignment are attached to this Request for Expressions of Interest</w:t>
      </w:r>
      <w:r w:rsidR="004D56F2">
        <w:t>.</w:t>
      </w:r>
      <w:r w:rsidRPr="006B5063">
        <w:t xml:space="preserve"> </w:t>
      </w:r>
    </w:p>
    <w:p w14:paraId="6015469C" w14:textId="77777777" w:rsidR="007C1C8C" w:rsidRPr="00DE5A94" w:rsidRDefault="007C1C8C" w:rsidP="007C1C8C">
      <w:pPr>
        <w:spacing w:before="240" w:after="240"/>
        <w:outlineLvl w:val="2"/>
        <w:rPr>
          <w:b/>
          <w:bCs/>
        </w:rPr>
      </w:pPr>
      <w:r w:rsidRPr="00DE5A94">
        <w:rPr>
          <w:b/>
          <w:bCs/>
        </w:rPr>
        <w:t>Qualification of the Consulting Firm</w:t>
      </w:r>
    </w:p>
    <w:p w14:paraId="2B42C07D" w14:textId="77777777" w:rsidR="007C1C8C" w:rsidRPr="007C1C8C" w:rsidRDefault="007C1C8C" w:rsidP="007C1C8C">
      <w:pPr>
        <w:spacing w:after="120"/>
      </w:pPr>
      <w:r w:rsidRPr="007C1C8C">
        <w:t>The selected consulting firm must demonstrate:</w:t>
      </w:r>
    </w:p>
    <w:p w14:paraId="3ADF51E1" w14:textId="77777777" w:rsidR="007C1C8C" w:rsidRPr="007C1C8C" w:rsidRDefault="007C1C8C" w:rsidP="00CE2360">
      <w:pPr>
        <w:numPr>
          <w:ilvl w:val="0"/>
          <w:numId w:val="3"/>
        </w:numPr>
      </w:pPr>
      <w:r w:rsidRPr="007C1C8C">
        <w:t>Relevant experience in digital health transformation or national health information systems (HIS/HIE).</w:t>
      </w:r>
    </w:p>
    <w:p w14:paraId="2454EFBE" w14:textId="77777777" w:rsidR="007C1C8C" w:rsidRPr="007C1C8C" w:rsidRDefault="007C1C8C" w:rsidP="00CE2360">
      <w:pPr>
        <w:numPr>
          <w:ilvl w:val="0"/>
          <w:numId w:val="3"/>
        </w:numPr>
        <w:spacing w:before="100" w:beforeAutospacing="1" w:after="100" w:afterAutospacing="1"/>
      </w:pPr>
      <w:r w:rsidRPr="007C1C8C">
        <w:t>Proven experience in providing technical oversight, advisory services, and quality assurance for complex health information system implementations.</w:t>
      </w:r>
    </w:p>
    <w:p w14:paraId="697E1F0B" w14:textId="77777777" w:rsidR="007C1C8C" w:rsidRPr="007C1C8C" w:rsidRDefault="007C1C8C" w:rsidP="00CE2360">
      <w:pPr>
        <w:numPr>
          <w:ilvl w:val="0"/>
          <w:numId w:val="3"/>
        </w:numPr>
        <w:spacing w:before="100" w:beforeAutospacing="1" w:after="100" w:afterAutospacing="1"/>
      </w:pPr>
      <w:r w:rsidRPr="007C1C8C">
        <w:t>Familiarity with interoperability frameworks such as OpenHIE, FHIR, IHE, and HL7.</w:t>
      </w:r>
    </w:p>
    <w:p w14:paraId="2679CCBA" w14:textId="77777777" w:rsidR="007C1C8C" w:rsidRPr="007C1C8C" w:rsidRDefault="007C1C8C" w:rsidP="00CE2360">
      <w:pPr>
        <w:numPr>
          <w:ilvl w:val="0"/>
          <w:numId w:val="3"/>
        </w:numPr>
        <w:spacing w:before="100" w:beforeAutospacing="1" w:after="100" w:afterAutospacing="1"/>
      </w:pPr>
      <w:r w:rsidRPr="007C1C8C">
        <w:t>Experience in World Bank–financed or other donor-funded health projects.</w:t>
      </w:r>
    </w:p>
    <w:p w14:paraId="29AFCC58" w14:textId="77777777" w:rsidR="007C1C8C" w:rsidRPr="007C1C8C" w:rsidRDefault="007C1C8C" w:rsidP="00CE2360">
      <w:pPr>
        <w:numPr>
          <w:ilvl w:val="0"/>
          <w:numId w:val="3"/>
        </w:numPr>
        <w:spacing w:before="100" w:beforeAutospacing="1" w:after="100" w:afterAutospacing="1"/>
      </w:pPr>
      <w:r w:rsidRPr="007C1C8C">
        <w:t>Availability of a qualified multidisciplinary team with expertise in digital health, HIS architecture, interoperability, cybersecurity, quality assurance, data governance, and World Bank–financed project management.</w:t>
      </w:r>
    </w:p>
    <w:p w14:paraId="0880948C" w14:textId="77777777" w:rsidR="007C1C8C" w:rsidRPr="007C1C8C" w:rsidRDefault="007C1C8C" w:rsidP="00DE5A94">
      <w:pPr>
        <w:spacing w:before="240" w:after="240"/>
        <w:outlineLvl w:val="2"/>
        <w:rPr>
          <w:b/>
          <w:bCs/>
        </w:rPr>
      </w:pPr>
      <w:r w:rsidRPr="007C1C8C">
        <w:rPr>
          <w:b/>
          <w:bCs/>
        </w:rPr>
        <w:t>Selection Process</w:t>
      </w:r>
    </w:p>
    <w:p w14:paraId="47CF861E" w14:textId="77777777" w:rsidR="007C1C8C" w:rsidRPr="007C1C8C" w:rsidRDefault="007C1C8C" w:rsidP="007C1C8C">
      <w:pPr>
        <w:spacing w:after="120"/>
      </w:pPr>
      <w:r w:rsidRPr="007C1C8C">
        <w:t xml:space="preserve">The consulting firm will be selected in accordance with the </w:t>
      </w:r>
      <w:r w:rsidRPr="007C1C8C">
        <w:rPr>
          <w:b/>
          <w:bCs/>
        </w:rPr>
        <w:t>Quality- and Cost-Based Selection (QCBS) method</w:t>
      </w:r>
      <w:r w:rsidRPr="007C1C8C">
        <w:t xml:space="preserve"> set out in the World Bank Procurement Regulations for IPF Borrowers, as amended from time to time.</w:t>
      </w:r>
    </w:p>
    <w:p w14:paraId="7F58FCC5" w14:textId="77777777" w:rsidR="007C1C8C" w:rsidRPr="007C1C8C" w:rsidRDefault="007C1C8C" w:rsidP="007C1C8C">
      <w:pPr>
        <w:spacing w:after="120"/>
      </w:pPr>
      <w:r w:rsidRPr="007C1C8C">
        <w:t>Expressions of Interest will be evaluated based on the following criteria:</w:t>
      </w:r>
    </w:p>
    <w:p w14:paraId="7A225CE2" w14:textId="547CD3DD" w:rsidR="007C1C8C" w:rsidRPr="007C1C8C" w:rsidRDefault="00CE5D85" w:rsidP="00CE2360">
      <w:pPr>
        <w:numPr>
          <w:ilvl w:val="0"/>
          <w:numId w:val="4"/>
        </w:numPr>
        <w:spacing w:before="100" w:beforeAutospacing="1" w:after="100" w:afterAutospacing="1"/>
      </w:pPr>
      <w:r w:rsidRPr="00CE5D85">
        <w:t xml:space="preserve">Relevant experience of the firm in digital health and national health information </w:t>
      </w:r>
      <w:r w:rsidR="009934D7" w:rsidRPr="00CE5D85">
        <w:t>systems. Experience</w:t>
      </w:r>
      <w:r w:rsidRPr="00CE5D85">
        <w:t xml:space="preserve"> in advisory or oversight roles for complex ICT or health information system </w:t>
      </w:r>
      <w:r w:rsidR="009934D7" w:rsidRPr="00CE5D85">
        <w:t>implementations.</w:t>
      </w:r>
    </w:p>
    <w:p w14:paraId="13523A33" w14:textId="39F2AE10" w:rsidR="007C1C8C" w:rsidRPr="007C1C8C" w:rsidRDefault="00CE5D85" w:rsidP="00CE2360">
      <w:pPr>
        <w:numPr>
          <w:ilvl w:val="0"/>
          <w:numId w:val="4"/>
        </w:numPr>
        <w:spacing w:before="100" w:beforeAutospacing="1" w:after="100" w:afterAutospacing="1"/>
      </w:pPr>
      <w:r w:rsidRPr="00CE5D85">
        <w:lastRenderedPageBreak/>
        <w:t xml:space="preserve">Experience in similar assignments financed by international organizations or development </w:t>
      </w:r>
      <w:r w:rsidR="009934D7" w:rsidRPr="00CE5D85">
        <w:t>partners.</w:t>
      </w:r>
    </w:p>
    <w:p w14:paraId="548F5FD0" w14:textId="3441E5AF" w:rsidR="007C1C8C" w:rsidRPr="007C1C8C" w:rsidRDefault="00CE5D85" w:rsidP="00CE2360">
      <w:pPr>
        <w:numPr>
          <w:ilvl w:val="0"/>
          <w:numId w:val="4"/>
        </w:numPr>
        <w:spacing w:after="120"/>
      </w:pPr>
      <w:r w:rsidRPr="00CE5D85">
        <w:t>Technical and managerial capability of the firm. (Consultants’ experts are not evaluated at this stage)</w:t>
      </w:r>
      <w:r w:rsidR="007C1C8C" w:rsidRPr="007C1C8C">
        <w:t>.</w:t>
      </w:r>
    </w:p>
    <w:p w14:paraId="171D76B6" w14:textId="5F153906" w:rsidR="00692576" w:rsidRPr="00692576" w:rsidRDefault="007C1C8C" w:rsidP="00CE5D85">
      <w:pPr>
        <w:spacing w:after="120"/>
        <w:rPr>
          <w:b/>
          <w:i/>
        </w:rPr>
      </w:pPr>
      <w:r w:rsidRPr="007C1C8C">
        <w:rPr>
          <w:bCs/>
        </w:rPr>
        <w:t>Detailed evaluation criteria and procedures will be provided in the Request for Proposals (RFP) to shortlisted firms.</w:t>
      </w:r>
    </w:p>
    <w:p w14:paraId="32137A0B" w14:textId="77777777" w:rsidR="007C1C8C" w:rsidRPr="007C1C8C" w:rsidRDefault="007C1C8C" w:rsidP="00E20F11">
      <w:pPr>
        <w:spacing w:before="240" w:after="240"/>
        <w:outlineLvl w:val="2"/>
        <w:rPr>
          <w:b/>
          <w:bCs/>
          <w:sz w:val="27"/>
          <w:szCs w:val="27"/>
        </w:rPr>
      </w:pPr>
      <w:r w:rsidRPr="007C1C8C">
        <w:rPr>
          <w:b/>
          <w:bCs/>
          <w:sz w:val="27"/>
          <w:szCs w:val="27"/>
        </w:rPr>
        <w:t>Submission Details</w:t>
      </w:r>
    </w:p>
    <w:p w14:paraId="23860562" w14:textId="27BBC70C" w:rsidR="00DF5B69" w:rsidRPr="006B5063" w:rsidRDefault="00DF5B69" w:rsidP="00DF5B69">
      <w:pPr>
        <w:spacing w:after="120"/>
      </w:pPr>
      <w:r w:rsidRPr="006B5063">
        <w:t>Interested firms are invited to submit their Expression of Interest, including:</w:t>
      </w:r>
    </w:p>
    <w:p w14:paraId="62DDF632" w14:textId="77777777" w:rsidR="00DF5B69" w:rsidRPr="006B5063" w:rsidRDefault="00DF5B69" w:rsidP="00CE2360">
      <w:pPr>
        <w:pStyle w:val="ListParagraph"/>
        <w:numPr>
          <w:ilvl w:val="0"/>
          <w:numId w:val="5"/>
        </w:numPr>
        <w:spacing w:after="120"/>
        <w:rPr>
          <w:rFonts w:ascii="Times New Roman" w:hAnsi="Times New Roman" w:cs="Times New Roman"/>
          <w:sz w:val="24"/>
        </w:rPr>
      </w:pPr>
      <w:r w:rsidRPr="006B5063">
        <w:rPr>
          <w:rFonts w:ascii="Times New Roman" w:hAnsi="Times New Roman" w:cs="Times New Roman"/>
          <w:sz w:val="24"/>
        </w:rPr>
        <w:t>Company profile and legal registration details;</w:t>
      </w:r>
    </w:p>
    <w:p w14:paraId="5905341D" w14:textId="77777777" w:rsidR="00DF5B69" w:rsidRPr="006B5063" w:rsidRDefault="00DF5B69" w:rsidP="00CE2360">
      <w:pPr>
        <w:pStyle w:val="ListParagraph"/>
        <w:numPr>
          <w:ilvl w:val="0"/>
          <w:numId w:val="5"/>
        </w:numPr>
        <w:spacing w:after="120"/>
        <w:rPr>
          <w:rFonts w:ascii="Times New Roman" w:hAnsi="Times New Roman" w:cs="Times New Roman"/>
          <w:sz w:val="24"/>
        </w:rPr>
      </w:pPr>
      <w:r w:rsidRPr="006B5063">
        <w:rPr>
          <w:rFonts w:ascii="Times New Roman" w:hAnsi="Times New Roman" w:cs="Times New Roman"/>
          <w:sz w:val="24"/>
        </w:rPr>
        <w:t>Description of relevant experience in similar assignments;</w:t>
      </w:r>
    </w:p>
    <w:p w14:paraId="4D3AA711" w14:textId="77777777" w:rsidR="00DF5B69" w:rsidRPr="006B5063" w:rsidRDefault="00DF5B69" w:rsidP="00CE2360">
      <w:pPr>
        <w:pStyle w:val="ListParagraph"/>
        <w:numPr>
          <w:ilvl w:val="0"/>
          <w:numId w:val="5"/>
        </w:numPr>
        <w:spacing w:after="120"/>
        <w:rPr>
          <w:rFonts w:ascii="Times New Roman" w:hAnsi="Times New Roman" w:cs="Times New Roman"/>
          <w:sz w:val="24"/>
        </w:rPr>
      </w:pPr>
      <w:r w:rsidRPr="006B5063">
        <w:rPr>
          <w:rFonts w:ascii="Times New Roman" w:hAnsi="Times New Roman" w:cs="Times New Roman"/>
          <w:sz w:val="24"/>
        </w:rPr>
        <w:t>Reference projects (with brief descriptions, duration, client, and contact details).</w:t>
      </w:r>
    </w:p>
    <w:p w14:paraId="25AC328D" w14:textId="46E49F37" w:rsidR="007C1C8C" w:rsidRDefault="00DF5B69" w:rsidP="00DF5B69">
      <w:pPr>
        <w:spacing w:after="120"/>
      </w:pPr>
      <w:r w:rsidRPr="006B5063">
        <w:t>Key Experts’ CVs and detailed methodology are not required at the shortlisting stage.</w:t>
      </w:r>
      <w:r w:rsidR="007C1C8C" w:rsidRPr="006B5063">
        <w:t xml:space="preserve"> </w:t>
      </w:r>
    </w:p>
    <w:p w14:paraId="01656F6A" w14:textId="036F3F3E" w:rsidR="007C1C8C" w:rsidRPr="007C1C8C" w:rsidRDefault="007C1C8C" w:rsidP="00E20F11">
      <w:pPr>
        <w:spacing w:before="120" w:after="120"/>
      </w:pPr>
      <w:r w:rsidRPr="007C1C8C">
        <w:t xml:space="preserve">Expression </w:t>
      </w:r>
      <w:r w:rsidR="00220289" w:rsidRPr="00220289">
        <w:t>of Interest must be delivered electronically (by e-mail) to the address below no later than 5 June 2026 at 16:00 (local time). Late submissions will not be considered.</w:t>
      </w:r>
    </w:p>
    <w:p w14:paraId="0D3DA376" w14:textId="77777777" w:rsidR="00E20F11" w:rsidRDefault="007C1C8C" w:rsidP="00E20F11">
      <w:r w:rsidRPr="007C1C8C">
        <w:t>Kosovo Ministry of Health</w:t>
      </w:r>
      <w:r w:rsidRPr="007C1C8C">
        <w:br/>
        <w:t>KOMPAS Project Implementation Unit (PIU)</w:t>
      </w:r>
      <w:r w:rsidRPr="007C1C8C">
        <w:br/>
        <w:t>Attn.: Procurement Specialist, KOMPAS</w:t>
      </w:r>
      <w:r w:rsidRPr="007C1C8C">
        <w:br/>
        <w:t xml:space="preserve">Address: </w:t>
      </w:r>
      <w:r w:rsidR="00E20F11">
        <w:t>Ministry of Health (MoH)</w:t>
      </w:r>
      <w:r w:rsidRPr="007C1C8C">
        <w:br/>
        <w:t>10 000, Pristine, Republic of Kosovo</w:t>
      </w:r>
      <w:r w:rsidRPr="007C1C8C">
        <w:br/>
        <w:t xml:space="preserve">Email: </w:t>
      </w:r>
      <w:hyperlink r:id="rId7" w:history="1">
        <w:r w:rsidR="00E20F11" w:rsidRPr="00097034">
          <w:rPr>
            <w:rStyle w:val="Hyperlink"/>
          </w:rPr>
          <w:t>blerim.cerkini@rks-gov.net</w:t>
        </w:r>
      </w:hyperlink>
    </w:p>
    <w:p w14:paraId="2B6FF559" w14:textId="677885AC" w:rsidR="007C1C8C" w:rsidRDefault="00E20F11" w:rsidP="00E20F11">
      <w:r>
        <w:t xml:space="preserve">Cc: </w:t>
      </w:r>
      <w:hyperlink r:id="rId8" w:history="1">
        <w:r w:rsidRPr="00097034">
          <w:rPr>
            <w:rStyle w:val="Hyperlink"/>
          </w:rPr>
          <w:t>fanol.duli@rks-gov.net</w:t>
        </w:r>
      </w:hyperlink>
    </w:p>
    <w:bookmarkEnd w:id="1"/>
    <w:p w14:paraId="6450C8F3" w14:textId="78D5C7EF" w:rsidR="00E17CBE" w:rsidRPr="00E17CBE" w:rsidRDefault="00E17CBE" w:rsidP="00E17CBE">
      <w:pPr>
        <w:spacing w:after="160" w:line="259" w:lineRule="auto"/>
        <w:jc w:val="center"/>
        <w:rPr>
          <w:b/>
          <w:sz w:val="28"/>
          <w:szCs w:val="28"/>
        </w:rPr>
      </w:pPr>
      <w:r>
        <w:br w:type="page"/>
      </w:r>
      <w:bookmarkStart w:id="2" w:name="_Toc265495742"/>
      <w:bookmarkStart w:id="3" w:name="_Toc474333912"/>
      <w:bookmarkStart w:id="4" w:name="_Toc474334081"/>
      <w:bookmarkStart w:id="5" w:name="_Toc494209476"/>
      <w:bookmarkStart w:id="6" w:name="_Toc135825214"/>
      <w:r w:rsidRPr="00E17CBE">
        <w:rPr>
          <w:b/>
          <w:sz w:val="28"/>
          <w:szCs w:val="28"/>
        </w:rPr>
        <w:lastRenderedPageBreak/>
        <w:t>TERMS OF REFERENCE</w:t>
      </w:r>
      <w:bookmarkEnd w:id="2"/>
      <w:bookmarkEnd w:id="3"/>
      <w:bookmarkEnd w:id="4"/>
      <w:bookmarkEnd w:id="5"/>
      <w:bookmarkEnd w:id="6"/>
    </w:p>
    <w:p w14:paraId="64C45BF5" w14:textId="77777777" w:rsidR="00B5325D" w:rsidRPr="00B5325D" w:rsidRDefault="00B5325D" w:rsidP="00B5325D">
      <w:pPr>
        <w:jc w:val="center"/>
      </w:pPr>
      <w:r w:rsidRPr="00B5325D">
        <w:t>for Consultancy Services to</w:t>
      </w:r>
    </w:p>
    <w:p w14:paraId="5C08A66F" w14:textId="77777777" w:rsidR="00B5325D" w:rsidRPr="00B5325D" w:rsidRDefault="00B5325D" w:rsidP="00B5325D">
      <w:pPr>
        <w:jc w:val="center"/>
        <w:rPr>
          <w:b/>
        </w:rPr>
      </w:pPr>
      <w:r w:rsidRPr="00B5325D">
        <w:rPr>
          <w:b/>
        </w:rPr>
        <w:t>Strategic Digital Health Partner (SDHP) for IHIS Implementation Oversight and Technical Advisory</w:t>
      </w:r>
    </w:p>
    <w:p w14:paraId="52E5E7C2" w14:textId="77777777" w:rsidR="00B5325D" w:rsidRPr="00B5325D" w:rsidRDefault="00B5325D" w:rsidP="00B5325D">
      <w:pPr>
        <w:tabs>
          <w:tab w:val="left" w:pos="720"/>
          <w:tab w:val="right" w:leader="dot" w:pos="8640"/>
        </w:tabs>
        <w:jc w:val="center"/>
        <w:rPr>
          <w:b/>
        </w:rPr>
      </w:pPr>
      <w:r w:rsidRPr="00B5325D">
        <w:rPr>
          <w:b/>
          <w:sz w:val="28"/>
        </w:rPr>
        <w:t>RFP No.:  XK-MoH-A1.03-CS-QCBS</w:t>
      </w:r>
    </w:p>
    <w:p w14:paraId="58F8EBD8" w14:textId="77777777" w:rsidR="00B5325D" w:rsidRPr="00B5325D" w:rsidRDefault="00B5325D" w:rsidP="00B5325D">
      <w:pPr>
        <w:rPr>
          <w:b/>
          <w:bCs/>
        </w:rPr>
      </w:pPr>
    </w:p>
    <w:p w14:paraId="607CACA9" w14:textId="77777777" w:rsidR="00B5325D" w:rsidRPr="00B5325D" w:rsidRDefault="00B5325D" w:rsidP="00B5325D">
      <w:pPr>
        <w:spacing w:after="120"/>
        <w:rPr>
          <w:b/>
          <w:bCs/>
        </w:rPr>
      </w:pPr>
      <w:r w:rsidRPr="00B5325D">
        <w:rPr>
          <w:b/>
          <w:bCs/>
        </w:rPr>
        <w:t>1. EXECUTIVE SUMMARY &amp; BACKGROUND</w:t>
      </w:r>
    </w:p>
    <w:p w14:paraId="29F8BE84" w14:textId="77777777" w:rsidR="00B5325D" w:rsidRPr="00B5325D" w:rsidRDefault="00B5325D" w:rsidP="00B5325D">
      <w:pPr>
        <w:rPr>
          <w:b/>
          <w:bCs/>
        </w:rPr>
      </w:pPr>
      <w:r w:rsidRPr="00B5325D">
        <w:rPr>
          <w:b/>
          <w:bCs/>
        </w:rPr>
        <w:t>1.1 Executive Summary</w:t>
      </w:r>
    </w:p>
    <w:p w14:paraId="46B18FBD" w14:textId="77777777" w:rsidR="00B5325D" w:rsidRPr="00B5325D" w:rsidRDefault="00B5325D" w:rsidP="00CE2360">
      <w:pPr>
        <w:numPr>
          <w:ilvl w:val="0"/>
          <w:numId w:val="6"/>
        </w:numPr>
        <w:spacing w:after="160" w:line="259" w:lineRule="auto"/>
      </w:pPr>
      <w:r w:rsidRPr="00B5325D">
        <w:t>This document sets out the Terms of Reference (ToR) for the engagement of a Strategic Digital Health Partner (SDHP) to support the Ministry of Health (MoH), the Department for Health Information Systems (DSISH) and Ministry of Digitalization and Public Administration (MDPA) in:</w:t>
      </w:r>
    </w:p>
    <w:p w14:paraId="24E431EF" w14:textId="77777777" w:rsidR="00B5325D" w:rsidRPr="00B5325D" w:rsidRDefault="00B5325D" w:rsidP="00CE2360">
      <w:pPr>
        <w:numPr>
          <w:ilvl w:val="0"/>
          <w:numId w:val="58"/>
        </w:numPr>
        <w:spacing w:after="160" w:line="259" w:lineRule="auto"/>
        <w:contextualSpacing/>
      </w:pPr>
      <w:r w:rsidRPr="00B5325D">
        <w:t>Technical oversight of the Integrated Health Information System (IHIS) implementation;</w:t>
      </w:r>
    </w:p>
    <w:p w14:paraId="615C635B" w14:textId="77777777" w:rsidR="00B5325D" w:rsidRPr="00B5325D" w:rsidRDefault="00B5325D" w:rsidP="00CE2360">
      <w:pPr>
        <w:numPr>
          <w:ilvl w:val="0"/>
          <w:numId w:val="58"/>
        </w:numPr>
        <w:spacing w:after="160" w:line="259" w:lineRule="auto"/>
        <w:contextualSpacing/>
      </w:pPr>
      <w:r w:rsidRPr="00B5325D">
        <w:t>Ongoing technical advisory services; and</w:t>
      </w:r>
    </w:p>
    <w:p w14:paraId="305C897A" w14:textId="77777777" w:rsidR="00B5325D" w:rsidRPr="00B5325D" w:rsidRDefault="00B5325D" w:rsidP="00CE2360">
      <w:pPr>
        <w:numPr>
          <w:ilvl w:val="0"/>
          <w:numId w:val="58"/>
        </w:numPr>
        <w:spacing w:after="160" w:line="259" w:lineRule="auto"/>
        <w:contextualSpacing/>
      </w:pPr>
      <w:r w:rsidRPr="00B5325D">
        <w:t>Quality assurance of IHIS components implemented under the World Bank–financed KOMPAS Project.</w:t>
      </w:r>
    </w:p>
    <w:p w14:paraId="6912EAFA" w14:textId="77777777" w:rsidR="00B5325D" w:rsidRPr="00B5325D" w:rsidRDefault="00B5325D" w:rsidP="00CE2360">
      <w:pPr>
        <w:numPr>
          <w:ilvl w:val="0"/>
          <w:numId w:val="6"/>
        </w:numPr>
        <w:spacing w:after="160" w:line="259" w:lineRule="auto"/>
      </w:pPr>
      <w:r w:rsidRPr="00B5325D">
        <w:t>The KOMPAS Project aims to strengthen governance, quality of care and efficiency of health services in Kosovo, positioning digital health as a core pillar of reform.</w:t>
      </w:r>
    </w:p>
    <w:p w14:paraId="15CD7AF9" w14:textId="77777777" w:rsidR="00B5325D" w:rsidRPr="00B5325D" w:rsidRDefault="00B5325D" w:rsidP="00CE2360">
      <w:pPr>
        <w:numPr>
          <w:ilvl w:val="0"/>
          <w:numId w:val="6"/>
        </w:numPr>
        <w:spacing w:after="160" w:line="259" w:lineRule="auto"/>
      </w:pPr>
      <w:r w:rsidRPr="00B5325D">
        <w:t xml:space="preserve">IHIS will be built as a </w:t>
      </w:r>
      <w:r w:rsidRPr="00B5325D">
        <w:rPr>
          <w:b/>
          <w:bCs/>
        </w:rPr>
        <w:t>standards-based ecosystem</w:t>
      </w:r>
      <w:r w:rsidRPr="00B5325D">
        <w:t>, not as a monolithic system. It will:</w:t>
      </w:r>
    </w:p>
    <w:p w14:paraId="06F3697E" w14:textId="77777777" w:rsidR="00B5325D" w:rsidRPr="00B5325D" w:rsidRDefault="00B5325D" w:rsidP="00CE2360">
      <w:pPr>
        <w:numPr>
          <w:ilvl w:val="0"/>
          <w:numId w:val="59"/>
        </w:numPr>
        <w:spacing w:after="160" w:line="259" w:lineRule="auto"/>
        <w:contextualSpacing/>
      </w:pPr>
      <w:r w:rsidRPr="00B5325D">
        <w:t>Integrate existing systems (BHIS, SMSF, MEDLIS, SMSN, hospital systems); and</w:t>
      </w:r>
    </w:p>
    <w:p w14:paraId="4322C1BE" w14:textId="77777777" w:rsidR="00B5325D" w:rsidRPr="00B5325D" w:rsidRDefault="00B5325D" w:rsidP="00CE2360">
      <w:pPr>
        <w:numPr>
          <w:ilvl w:val="0"/>
          <w:numId w:val="59"/>
        </w:numPr>
        <w:spacing w:after="160" w:line="259" w:lineRule="auto"/>
        <w:contextualSpacing/>
      </w:pPr>
      <w:r w:rsidRPr="00B5325D">
        <w:t>Introduce new components such as:</w:t>
      </w:r>
      <w:r w:rsidRPr="00B5325D">
        <w:br/>
        <w:t>• National Registries;</w:t>
      </w:r>
      <w:r w:rsidRPr="00B5325D">
        <w:br/>
        <w:t>• Shared Health Record Repository (SHR);</w:t>
      </w:r>
      <w:r w:rsidRPr="00B5325D">
        <w:br/>
        <w:t>• Interoperability Layer (IL);</w:t>
      </w:r>
      <w:r w:rsidRPr="00B5325D">
        <w:br/>
        <w:t>• Advanced clinical applications (EHR, ePrescribing, eReferral, etc.).</w:t>
      </w:r>
    </w:p>
    <w:p w14:paraId="276F6DFE" w14:textId="77777777" w:rsidR="00B5325D" w:rsidRPr="00B5325D" w:rsidRDefault="00B5325D" w:rsidP="00CE2360">
      <w:pPr>
        <w:numPr>
          <w:ilvl w:val="0"/>
          <w:numId w:val="6"/>
        </w:numPr>
        <w:spacing w:after="160" w:line="259" w:lineRule="auto"/>
      </w:pPr>
      <w:r w:rsidRPr="00B5325D">
        <w:t xml:space="preserve">Within this context, the SDHP will provide </w:t>
      </w:r>
      <w:r w:rsidRPr="00B5325D">
        <w:rPr>
          <w:b/>
          <w:bCs/>
        </w:rPr>
        <w:t>independent international expertise</w:t>
      </w:r>
      <w:r w:rsidRPr="00B5325D">
        <w:t xml:space="preserve"> to:</w:t>
      </w:r>
    </w:p>
    <w:p w14:paraId="78DB6630" w14:textId="77777777" w:rsidR="00B5325D" w:rsidRPr="00B5325D" w:rsidRDefault="00B5325D" w:rsidP="00CE2360">
      <w:pPr>
        <w:numPr>
          <w:ilvl w:val="0"/>
          <w:numId w:val="60"/>
        </w:numPr>
        <w:spacing w:after="160" w:line="259" w:lineRule="auto"/>
        <w:contextualSpacing/>
      </w:pPr>
      <w:r w:rsidRPr="00B5325D">
        <w:t>Verify the IHIS architecture in line with the 2024–2030 Digital Health Blueprint and OpenHIE;</w:t>
      </w:r>
    </w:p>
    <w:p w14:paraId="13EC3321" w14:textId="77777777" w:rsidR="00B5325D" w:rsidRPr="00B5325D" w:rsidRDefault="00B5325D" w:rsidP="00CE2360">
      <w:pPr>
        <w:numPr>
          <w:ilvl w:val="0"/>
          <w:numId w:val="60"/>
        </w:numPr>
        <w:spacing w:after="160" w:line="259" w:lineRule="auto"/>
        <w:contextualSpacing/>
      </w:pPr>
      <w:r w:rsidRPr="00B5325D">
        <w:t>Support DSISH in drafting technically sound ToRs and specifications for procurements;</w:t>
      </w:r>
    </w:p>
    <w:p w14:paraId="67723DD8" w14:textId="77777777" w:rsidR="00B5325D" w:rsidRPr="00B5325D" w:rsidRDefault="00B5325D" w:rsidP="00CE2360">
      <w:pPr>
        <w:numPr>
          <w:ilvl w:val="0"/>
          <w:numId w:val="60"/>
        </w:numPr>
        <w:spacing w:after="160" w:line="259" w:lineRule="auto"/>
        <w:contextualSpacing/>
      </w:pPr>
      <w:r w:rsidRPr="00B5325D">
        <w:t>Oversee the work of implementation vendors;</w:t>
      </w:r>
    </w:p>
    <w:p w14:paraId="24BB84E7" w14:textId="77777777" w:rsidR="00B5325D" w:rsidRPr="00B5325D" w:rsidRDefault="00B5325D" w:rsidP="00CE2360">
      <w:pPr>
        <w:numPr>
          <w:ilvl w:val="0"/>
          <w:numId w:val="60"/>
        </w:numPr>
        <w:spacing w:after="160" w:line="259" w:lineRule="auto"/>
        <w:contextualSpacing/>
      </w:pPr>
      <w:r w:rsidRPr="00B5325D">
        <w:t>Support the establishment of national mechanisms for interoperability testing and certification; and</w:t>
      </w:r>
    </w:p>
    <w:p w14:paraId="48E647F1" w14:textId="77777777" w:rsidR="00B5325D" w:rsidRPr="00B5325D" w:rsidRDefault="00B5325D" w:rsidP="00CE2360">
      <w:pPr>
        <w:numPr>
          <w:ilvl w:val="0"/>
          <w:numId w:val="60"/>
        </w:numPr>
        <w:spacing w:after="160" w:line="259" w:lineRule="auto"/>
        <w:contextualSpacing/>
      </w:pPr>
      <w:r w:rsidRPr="00B5325D">
        <w:t>Strengthen digital governance, data security and institutional capacities of MoH/DSISH and make sure it is aligned with data governance and security strategy, policy, standards and initiatives of the Governmemt of Kosovo..</w:t>
      </w:r>
    </w:p>
    <w:p w14:paraId="4562C0F7" w14:textId="77777777" w:rsidR="00B5325D" w:rsidRPr="00B5325D" w:rsidRDefault="00B5325D" w:rsidP="00CE2360">
      <w:pPr>
        <w:numPr>
          <w:ilvl w:val="0"/>
          <w:numId w:val="6"/>
        </w:numPr>
        <w:spacing w:after="160" w:line="259" w:lineRule="auto"/>
      </w:pPr>
      <w:r w:rsidRPr="00B5325D">
        <w:t xml:space="preserve">The SDHP is defined as a </w:t>
      </w:r>
      <w:r w:rsidRPr="00B5325D">
        <w:rPr>
          <w:b/>
          <w:bCs/>
        </w:rPr>
        <w:t>technical advisory and oversight partner</w:t>
      </w:r>
      <w:r w:rsidRPr="00B5325D">
        <w:t>, not:</w:t>
      </w:r>
    </w:p>
    <w:p w14:paraId="7891AA74" w14:textId="77777777" w:rsidR="00B5325D" w:rsidRPr="00B5325D" w:rsidRDefault="00B5325D" w:rsidP="00CE2360">
      <w:pPr>
        <w:numPr>
          <w:ilvl w:val="0"/>
          <w:numId w:val="61"/>
        </w:numPr>
        <w:spacing w:after="160" w:line="259" w:lineRule="auto"/>
        <w:contextualSpacing/>
      </w:pPr>
      <w:r w:rsidRPr="00B5325D">
        <w:lastRenderedPageBreak/>
        <w:t>An implementation vendor; nor</w:t>
      </w:r>
    </w:p>
    <w:p w14:paraId="07452578" w14:textId="77777777" w:rsidR="00B5325D" w:rsidRPr="00B5325D" w:rsidRDefault="00B5325D" w:rsidP="00CE2360">
      <w:pPr>
        <w:numPr>
          <w:ilvl w:val="0"/>
          <w:numId w:val="61"/>
        </w:numPr>
        <w:spacing w:after="160" w:line="259" w:lineRule="auto"/>
        <w:contextualSpacing/>
      </w:pPr>
      <w:r w:rsidRPr="00B5325D">
        <w:t>A decision-making body for procurement.</w:t>
      </w:r>
    </w:p>
    <w:p w14:paraId="02BB33DB" w14:textId="77777777" w:rsidR="00B5325D" w:rsidRPr="00B5325D" w:rsidRDefault="00B5325D" w:rsidP="00B5325D">
      <w:pPr>
        <w:rPr>
          <w:b/>
          <w:bCs/>
        </w:rPr>
      </w:pPr>
    </w:p>
    <w:p w14:paraId="62C10211" w14:textId="77777777" w:rsidR="00B5325D" w:rsidRPr="00B5325D" w:rsidRDefault="00B5325D" w:rsidP="00B5325D">
      <w:pPr>
        <w:rPr>
          <w:b/>
          <w:bCs/>
        </w:rPr>
      </w:pPr>
      <w:r w:rsidRPr="00B5325D">
        <w:rPr>
          <w:b/>
          <w:bCs/>
        </w:rPr>
        <w:t>1.2 Background and Context</w:t>
      </w:r>
    </w:p>
    <w:p w14:paraId="21793825" w14:textId="77777777" w:rsidR="00B5325D" w:rsidRPr="00B5325D" w:rsidRDefault="00B5325D" w:rsidP="00CE2360">
      <w:pPr>
        <w:numPr>
          <w:ilvl w:val="0"/>
          <w:numId w:val="7"/>
        </w:numPr>
        <w:spacing w:after="160" w:line="259" w:lineRule="auto"/>
      </w:pPr>
      <w:r w:rsidRPr="00B5325D">
        <w:t xml:space="preserve">The health system of Kosovo is undergoing a profound digital transformation driven by the </w:t>
      </w:r>
      <w:r w:rsidRPr="00B5325D">
        <w:rPr>
          <w:b/>
          <w:bCs/>
        </w:rPr>
        <w:t>Kosovo Digital Health Blueprint 2024–2030</w:t>
      </w:r>
      <w:r w:rsidRPr="00B5325D">
        <w:t>, which aims to create an integrated national health information ecosystem where public and private providers exchange data in a secure, standardized and certifiable manner.</w:t>
      </w:r>
    </w:p>
    <w:p w14:paraId="426BB87C" w14:textId="77777777" w:rsidR="00B5325D" w:rsidRPr="00B5325D" w:rsidRDefault="00B5325D" w:rsidP="00CE2360">
      <w:pPr>
        <w:numPr>
          <w:ilvl w:val="0"/>
          <w:numId w:val="7"/>
        </w:numPr>
        <w:spacing w:after="160" w:line="259" w:lineRule="auto"/>
      </w:pPr>
      <w:r w:rsidRPr="00B5325D">
        <w:t>DSISH currently operates and maintains/governs several critical systems, including:</w:t>
      </w:r>
    </w:p>
    <w:p w14:paraId="39914D1B" w14:textId="77777777" w:rsidR="00B5325D" w:rsidRPr="00B5325D" w:rsidRDefault="00B5325D" w:rsidP="00CE2360">
      <w:pPr>
        <w:numPr>
          <w:ilvl w:val="0"/>
          <w:numId w:val="62"/>
        </w:numPr>
        <w:spacing w:after="160" w:line="259" w:lineRule="auto"/>
        <w:contextualSpacing/>
      </w:pPr>
      <w:r w:rsidRPr="00B5325D">
        <w:t>BHIS – core health information system for primary care;</w:t>
      </w:r>
    </w:p>
    <w:p w14:paraId="1647D968" w14:textId="77777777" w:rsidR="00B5325D" w:rsidRPr="00B5325D" w:rsidRDefault="00B5325D" w:rsidP="00CE2360">
      <w:pPr>
        <w:numPr>
          <w:ilvl w:val="0"/>
          <w:numId w:val="62"/>
        </w:numPr>
        <w:spacing w:after="160" w:line="259" w:lineRule="auto"/>
        <w:contextualSpacing/>
      </w:pPr>
      <w:r w:rsidRPr="00B5325D">
        <w:t>SMSF – pharmaceutical stock management system;</w:t>
      </w:r>
    </w:p>
    <w:p w14:paraId="5D6C2107" w14:textId="77777777" w:rsidR="00B5325D" w:rsidRPr="00B5325D" w:rsidRDefault="00B5325D" w:rsidP="00CE2360">
      <w:pPr>
        <w:numPr>
          <w:ilvl w:val="0"/>
          <w:numId w:val="62"/>
        </w:numPr>
        <w:spacing w:after="160" w:line="259" w:lineRule="auto"/>
        <w:contextualSpacing/>
      </w:pPr>
      <w:r w:rsidRPr="00B5325D">
        <w:t>SMSN – epidemiological surveillance system;</w:t>
      </w:r>
    </w:p>
    <w:p w14:paraId="183BF6DE" w14:textId="77777777" w:rsidR="00B5325D" w:rsidRPr="00B5325D" w:rsidRDefault="00B5325D" w:rsidP="00CE2360">
      <w:pPr>
        <w:numPr>
          <w:ilvl w:val="0"/>
          <w:numId w:val="62"/>
        </w:numPr>
        <w:spacing w:after="160" w:line="259" w:lineRule="auto"/>
        <w:contextualSpacing/>
      </w:pPr>
      <w:r w:rsidRPr="00B5325D">
        <w:t>MEDLIS – laboratory information management system;</w:t>
      </w:r>
    </w:p>
    <w:p w14:paraId="4F7A56A6" w14:textId="77777777" w:rsidR="00B5325D" w:rsidRPr="00B5325D" w:rsidRDefault="00B5325D" w:rsidP="00CE2360">
      <w:pPr>
        <w:numPr>
          <w:ilvl w:val="0"/>
          <w:numId w:val="62"/>
        </w:numPr>
        <w:spacing w:after="160" w:line="259" w:lineRule="auto"/>
        <w:contextualSpacing/>
      </w:pPr>
      <w:r w:rsidRPr="00B5325D">
        <w:t>Various systems at UCCK and regional hospitals.</w:t>
      </w:r>
    </w:p>
    <w:p w14:paraId="235AFA65" w14:textId="77777777" w:rsidR="00B5325D" w:rsidRPr="00B5325D" w:rsidRDefault="00B5325D" w:rsidP="00CE2360">
      <w:pPr>
        <w:numPr>
          <w:ilvl w:val="0"/>
          <w:numId w:val="7"/>
        </w:numPr>
        <w:spacing w:after="160" w:line="259" w:lineRule="auto"/>
      </w:pPr>
      <w:r w:rsidRPr="00B5325D">
        <w:t>These systems are essential for daily operations but suffer from:</w:t>
      </w:r>
    </w:p>
    <w:p w14:paraId="7444B13B" w14:textId="77777777" w:rsidR="00B5325D" w:rsidRPr="00B5325D" w:rsidRDefault="00B5325D" w:rsidP="00CE2360">
      <w:pPr>
        <w:numPr>
          <w:ilvl w:val="0"/>
          <w:numId w:val="63"/>
        </w:numPr>
        <w:spacing w:after="160" w:line="259" w:lineRule="auto"/>
        <w:contextualSpacing/>
      </w:pPr>
      <w:r w:rsidRPr="00B5325D">
        <w:t>Architectural fragmentation;</w:t>
      </w:r>
    </w:p>
    <w:p w14:paraId="0A501BA6" w14:textId="77777777" w:rsidR="00B5325D" w:rsidRPr="00B5325D" w:rsidRDefault="00B5325D" w:rsidP="00CE2360">
      <w:pPr>
        <w:numPr>
          <w:ilvl w:val="0"/>
          <w:numId w:val="63"/>
        </w:numPr>
        <w:spacing w:after="160" w:line="259" w:lineRule="auto"/>
        <w:contextualSpacing/>
      </w:pPr>
      <w:r w:rsidRPr="00B5325D">
        <w:t>Lack of standardization of clinical and administrative data;</w:t>
      </w:r>
    </w:p>
    <w:p w14:paraId="3E41627B" w14:textId="77777777" w:rsidR="00B5325D" w:rsidRPr="00B5325D" w:rsidRDefault="00B5325D" w:rsidP="00CE2360">
      <w:pPr>
        <w:numPr>
          <w:ilvl w:val="0"/>
          <w:numId w:val="63"/>
        </w:numPr>
        <w:spacing w:after="160" w:line="259" w:lineRule="auto"/>
        <w:contextualSpacing/>
      </w:pPr>
      <w:r w:rsidRPr="00B5325D">
        <w:t>Limited interoperability across platforms;</w:t>
      </w:r>
    </w:p>
    <w:p w14:paraId="6D6BE4D8" w14:textId="77777777" w:rsidR="00B5325D" w:rsidRPr="00B5325D" w:rsidRDefault="00B5325D" w:rsidP="00CE2360">
      <w:pPr>
        <w:numPr>
          <w:ilvl w:val="0"/>
          <w:numId w:val="63"/>
        </w:numPr>
        <w:spacing w:after="160" w:line="259" w:lineRule="auto"/>
        <w:contextualSpacing/>
      </w:pPr>
      <w:r w:rsidRPr="00B5325D">
        <w:t>Limited capacity for advanced analytics and quality-of-care monitoring.</w:t>
      </w:r>
    </w:p>
    <w:p w14:paraId="5F371C57" w14:textId="77777777" w:rsidR="00B5325D" w:rsidRPr="00B5325D" w:rsidRDefault="00B5325D" w:rsidP="00CE2360">
      <w:pPr>
        <w:numPr>
          <w:ilvl w:val="0"/>
          <w:numId w:val="7"/>
        </w:numPr>
        <w:spacing w:after="160" w:line="259" w:lineRule="auto"/>
      </w:pPr>
      <w:r w:rsidRPr="00B5325D">
        <w:t>Component 2 of the KOMPAS Project seeks to address these issues by:</w:t>
      </w:r>
    </w:p>
    <w:p w14:paraId="604728C5" w14:textId="77777777" w:rsidR="00B5325D" w:rsidRPr="00B5325D" w:rsidRDefault="00B5325D" w:rsidP="00CE2360">
      <w:pPr>
        <w:numPr>
          <w:ilvl w:val="0"/>
          <w:numId w:val="64"/>
        </w:numPr>
        <w:spacing w:after="160" w:line="259" w:lineRule="auto"/>
        <w:contextualSpacing/>
      </w:pPr>
      <w:r w:rsidRPr="00B5325D">
        <w:t>Developing national registries (Client, Facility, Health Worker, Drug, etc.);</w:t>
      </w:r>
    </w:p>
    <w:p w14:paraId="24F3EE60" w14:textId="77777777" w:rsidR="00B5325D" w:rsidRPr="00B5325D" w:rsidRDefault="00B5325D" w:rsidP="00CE2360">
      <w:pPr>
        <w:numPr>
          <w:ilvl w:val="0"/>
          <w:numId w:val="64"/>
        </w:numPr>
        <w:spacing w:after="160" w:line="259" w:lineRule="auto"/>
        <w:contextualSpacing/>
      </w:pPr>
      <w:r w:rsidRPr="00B5325D">
        <w:t>Developing a Shared Health Record (SHR) based on FHIR/IHE;</w:t>
      </w:r>
    </w:p>
    <w:p w14:paraId="3D0CA66D" w14:textId="77777777" w:rsidR="00B5325D" w:rsidRPr="00B5325D" w:rsidRDefault="00B5325D" w:rsidP="00CE2360">
      <w:pPr>
        <w:numPr>
          <w:ilvl w:val="0"/>
          <w:numId w:val="64"/>
        </w:numPr>
        <w:spacing w:after="160" w:line="259" w:lineRule="auto"/>
        <w:contextualSpacing/>
      </w:pPr>
      <w:r w:rsidRPr="00B5325D">
        <w:t>Establishing an Interoperability Layer (IL) for data exchange;</w:t>
      </w:r>
    </w:p>
    <w:p w14:paraId="29597D5D" w14:textId="77777777" w:rsidR="00B5325D" w:rsidRPr="00B5325D" w:rsidRDefault="00B5325D" w:rsidP="00CE2360">
      <w:pPr>
        <w:numPr>
          <w:ilvl w:val="0"/>
          <w:numId w:val="64"/>
        </w:numPr>
        <w:spacing w:after="160" w:line="259" w:lineRule="auto"/>
        <w:contextualSpacing/>
      </w:pPr>
      <w:r w:rsidRPr="00B5325D">
        <w:t>Standardizing terminology and coding (ICD-11, SNOMED CT, ATC/DDD, LOINC);</w:t>
      </w:r>
    </w:p>
    <w:p w14:paraId="692B237D" w14:textId="77777777" w:rsidR="00B5325D" w:rsidRPr="00B5325D" w:rsidRDefault="00B5325D" w:rsidP="00CE2360">
      <w:pPr>
        <w:numPr>
          <w:ilvl w:val="0"/>
          <w:numId w:val="64"/>
        </w:numPr>
        <w:spacing w:after="160" w:line="259" w:lineRule="auto"/>
        <w:contextualSpacing/>
      </w:pPr>
      <w:r w:rsidRPr="00B5325D">
        <w:t>Strengthening data security, privacy and governance; and</w:t>
      </w:r>
    </w:p>
    <w:p w14:paraId="36FD4FEC" w14:textId="77777777" w:rsidR="00B5325D" w:rsidRPr="00B5325D" w:rsidRDefault="00B5325D" w:rsidP="00CE2360">
      <w:pPr>
        <w:numPr>
          <w:ilvl w:val="0"/>
          <w:numId w:val="64"/>
        </w:numPr>
        <w:spacing w:after="160" w:line="259" w:lineRule="auto"/>
        <w:contextualSpacing/>
      </w:pPr>
      <w:r w:rsidRPr="00B5325D">
        <w:t>Integrating and modernizing existing DSISH systems.</w:t>
      </w:r>
    </w:p>
    <w:p w14:paraId="2EEFDE96" w14:textId="77777777" w:rsidR="00B5325D" w:rsidRPr="00B5325D" w:rsidRDefault="00B5325D" w:rsidP="00CE2360">
      <w:pPr>
        <w:numPr>
          <w:ilvl w:val="0"/>
          <w:numId w:val="7"/>
        </w:numPr>
        <w:spacing w:after="160" w:line="259" w:lineRule="auto"/>
      </w:pPr>
      <w:r w:rsidRPr="00B5325D">
        <w:t>Due to the technical and regulatory complexity of this transformation, MoH/DSISH and MDPA require an SDHP with:</w:t>
      </w:r>
    </w:p>
    <w:p w14:paraId="433AEFC4" w14:textId="77777777" w:rsidR="00B5325D" w:rsidRPr="00B5325D" w:rsidRDefault="00B5325D" w:rsidP="00CE2360">
      <w:pPr>
        <w:numPr>
          <w:ilvl w:val="0"/>
          <w:numId w:val="65"/>
        </w:numPr>
        <w:spacing w:after="160" w:line="259" w:lineRule="auto"/>
        <w:contextualSpacing/>
      </w:pPr>
      <w:r w:rsidRPr="00B5325D">
        <w:t>Proven experience in national-level HIS/HIE projects;</w:t>
      </w:r>
    </w:p>
    <w:p w14:paraId="470D12C9" w14:textId="77777777" w:rsidR="00B5325D" w:rsidRPr="00B5325D" w:rsidRDefault="00B5325D" w:rsidP="00CE2360">
      <w:pPr>
        <w:numPr>
          <w:ilvl w:val="0"/>
          <w:numId w:val="65"/>
        </w:numPr>
        <w:spacing w:after="160" w:line="259" w:lineRule="auto"/>
        <w:contextualSpacing/>
      </w:pPr>
      <w:r w:rsidRPr="00B5325D">
        <w:t>Experience in transition of EU or EU-candidate countries; and</w:t>
      </w:r>
    </w:p>
    <w:p w14:paraId="5B968807" w14:textId="77777777" w:rsidR="00B5325D" w:rsidRPr="00B5325D" w:rsidRDefault="00B5325D" w:rsidP="00CE2360">
      <w:pPr>
        <w:numPr>
          <w:ilvl w:val="0"/>
          <w:numId w:val="65"/>
        </w:numPr>
        <w:spacing w:after="160" w:line="259" w:lineRule="auto"/>
        <w:contextualSpacing/>
      </w:pPr>
      <w:r w:rsidRPr="00B5325D">
        <w:t>Demonstrated work on World Bank–financed or similar donor-funded projects.</w:t>
      </w:r>
    </w:p>
    <w:p w14:paraId="38ED5AAC" w14:textId="77777777" w:rsidR="00B5325D" w:rsidRPr="00B5325D" w:rsidRDefault="00B5325D" w:rsidP="00CE2360">
      <w:pPr>
        <w:numPr>
          <w:ilvl w:val="0"/>
          <w:numId w:val="65"/>
        </w:numPr>
        <w:spacing w:after="160" w:line="259" w:lineRule="auto"/>
        <w:ind w:left="1440"/>
        <w:contextualSpacing/>
      </w:pPr>
      <w:r w:rsidRPr="00B5325D">
        <w:t>Experience in developing and/or implementing at least two Health Information Exchanges (HIE) in EU or EU-candidate countries.</w:t>
      </w:r>
    </w:p>
    <w:p w14:paraId="04BC4211" w14:textId="77777777" w:rsidR="00B5325D" w:rsidRPr="00B5325D" w:rsidRDefault="00B5325D" w:rsidP="00B5325D">
      <w:pPr>
        <w:rPr>
          <w:b/>
          <w:bCs/>
        </w:rPr>
      </w:pPr>
      <w:r w:rsidRPr="00B5325D">
        <w:rPr>
          <w:b/>
          <w:bCs/>
        </w:rPr>
        <w:t>2. OBJECTIVES, ALIGNMENT WITH BLUEPRINT &amp; TECHNICAL RATIONALE</w:t>
      </w:r>
    </w:p>
    <w:p w14:paraId="453F47E3" w14:textId="77777777" w:rsidR="00B5325D" w:rsidRPr="00B5325D" w:rsidRDefault="00B5325D" w:rsidP="00B5325D">
      <w:pPr>
        <w:spacing w:after="120"/>
        <w:rPr>
          <w:b/>
          <w:bCs/>
        </w:rPr>
      </w:pPr>
      <w:r w:rsidRPr="00B5325D">
        <w:rPr>
          <w:b/>
          <w:bCs/>
        </w:rPr>
        <w:t>2.1 Objectives of the Assignment</w:t>
      </w:r>
    </w:p>
    <w:p w14:paraId="27B5B4C5" w14:textId="77777777" w:rsidR="00B5325D" w:rsidRPr="00B5325D" w:rsidRDefault="00B5325D" w:rsidP="00B5325D">
      <w:pPr>
        <w:spacing w:after="160" w:line="259" w:lineRule="auto"/>
      </w:pPr>
      <w:r w:rsidRPr="00B5325D">
        <w:t xml:space="preserve">11. The overall objective is to support MoH/DSISH/MDPA in the </w:t>
      </w:r>
      <w:r w:rsidRPr="00B5325D">
        <w:rPr>
          <w:b/>
          <w:bCs/>
        </w:rPr>
        <w:t>development, oversight and quality assurance</w:t>
      </w:r>
      <w:r w:rsidRPr="00B5325D">
        <w:t xml:space="preserve"> of all IHIS components, in line with:</w:t>
      </w:r>
    </w:p>
    <w:p w14:paraId="00E4B33A" w14:textId="77777777" w:rsidR="00B5325D" w:rsidRPr="00B5325D" w:rsidRDefault="00B5325D" w:rsidP="00CE2360">
      <w:pPr>
        <w:numPr>
          <w:ilvl w:val="0"/>
          <w:numId w:val="57"/>
        </w:numPr>
        <w:spacing w:after="160" w:line="259" w:lineRule="auto"/>
        <w:ind w:left="1080"/>
        <w:contextualSpacing/>
      </w:pPr>
      <w:r w:rsidRPr="00B5325D">
        <w:lastRenderedPageBreak/>
        <w:t>Requirements of the KOMPAS Project; and</w:t>
      </w:r>
    </w:p>
    <w:p w14:paraId="60BC5A63" w14:textId="77777777" w:rsidR="00B5325D" w:rsidRPr="00B5325D" w:rsidRDefault="00B5325D" w:rsidP="00CE2360">
      <w:pPr>
        <w:numPr>
          <w:ilvl w:val="0"/>
          <w:numId w:val="57"/>
        </w:numPr>
        <w:spacing w:after="160" w:line="259" w:lineRule="auto"/>
        <w:ind w:left="1080"/>
        <w:contextualSpacing/>
      </w:pPr>
      <w:r w:rsidRPr="00B5325D">
        <w:t>Goals of the Kosovo Digital Health Blueprint 2024–2030.</w:t>
      </w:r>
    </w:p>
    <w:p w14:paraId="34E46926" w14:textId="77777777" w:rsidR="00B5325D" w:rsidRPr="00B5325D" w:rsidRDefault="00B5325D" w:rsidP="00CE2360">
      <w:pPr>
        <w:numPr>
          <w:ilvl w:val="0"/>
          <w:numId w:val="132"/>
        </w:numPr>
        <w:spacing w:after="160" w:line="259" w:lineRule="auto"/>
        <w:contextualSpacing/>
      </w:pPr>
      <w:r w:rsidRPr="00B5325D">
        <w:t>Specific objectives are to:</w:t>
      </w:r>
    </w:p>
    <w:p w14:paraId="39A2AC4C" w14:textId="77777777" w:rsidR="00B5325D" w:rsidRPr="00B5325D" w:rsidRDefault="00B5325D" w:rsidP="00CE2360">
      <w:pPr>
        <w:numPr>
          <w:ilvl w:val="1"/>
          <w:numId w:val="132"/>
        </w:numPr>
        <w:spacing w:after="160" w:line="259" w:lineRule="auto"/>
        <w:contextualSpacing/>
      </w:pPr>
      <w:r w:rsidRPr="00B5325D">
        <w:t>Provide technical and advisory support for IHIS architecture and core interoperability components.</w:t>
      </w:r>
    </w:p>
    <w:p w14:paraId="30B8C31E" w14:textId="77777777" w:rsidR="00B5325D" w:rsidRPr="00B5325D" w:rsidRDefault="00B5325D" w:rsidP="00CE2360">
      <w:pPr>
        <w:numPr>
          <w:ilvl w:val="1"/>
          <w:numId w:val="132"/>
        </w:numPr>
        <w:spacing w:after="160" w:line="259" w:lineRule="auto"/>
        <w:contextualSpacing/>
      </w:pPr>
      <w:r w:rsidRPr="00B5325D">
        <w:t>Support DSISH/MDPA in drafting technical documents, ToRs and specifications for new systems and services.</w:t>
      </w:r>
    </w:p>
    <w:p w14:paraId="3B2211C4" w14:textId="77777777" w:rsidR="00B5325D" w:rsidRPr="00B5325D" w:rsidRDefault="00B5325D" w:rsidP="00CE2360">
      <w:pPr>
        <w:numPr>
          <w:ilvl w:val="1"/>
          <w:numId w:val="132"/>
        </w:numPr>
        <w:spacing w:after="160" w:line="259" w:lineRule="auto"/>
        <w:contextualSpacing/>
      </w:pPr>
      <w:r w:rsidRPr="00B5325D">
        <w:t>Provide technical oversight of vendor contract implementation, including SLA, QA and QC monitoring.</w:t>
      </w:r>
    </w:p>
    <w:p w14:paraId="25106B10" w14:textId="77777777" w:rsidR="00B5325D" w:rsidRPr="00B5325D" w:rsidRDefault="00B5325D" w:rsidP="00CE2360">
      <w:pPr>
        <w:numPr>
          <w:ilvl w:val="1"/>
          <w:numId w:val="132"/>
        </w:numPr>
        <w:spacing w:after="160" w:line="259" w:lineRule="auto"/>
        <w:contextualSpacing/>
      </w:pPr>
      <w:r w:rsidRPr="00B5325D">
        <w:t>Ensure compliance with international standards (HL7 FHIR, IHE Profiles, ICD-11, SNOMED CT, etc.).</w:t>
      </w:r>
    </w:p>
    <w:p w14:paraId="01E81D02" w14:textId="77777777" w:rsidR="00B5325D" w:rsidRPr="00B5325D" w:rsidRDefault="00B5325D" w:rsidP="00CE2360">
      <w:pPr>
        <w:numPr>
          <w:ilvl w:val="1"/>
          <w:numId w:val="132"/>
        </w:numPr>
        <w:spacing w:after="160" w:line="259" w:lineRule="auto"/>
        <w:contextualSpacing/>
      </w:pPr>
      <w:r w:rsidRPr="00B5325D">
        <w:t>Develop a national mechanism for interoperability testing and conformance certification.</w:t>
      </w:r>
    </w:p>
    <w:p w14:paraId="40AD812F" w14:textId="77777777" w:rsidR="00B5325D" w:rsidRPr="00B5325D" w:rsidRDefault="00B5325D" w:rsidP="00CE2360">
      <w:pPr>
        <w:numPr>
          <w:ilvl w:val="1"/>
          <w:numId w:val="132"/>
        </w:numPr>
        <w:spacing w:after="160" w:line="259" w:lineRule="auto"/>
        <w:contextualSpacing/>
      </w:pPr>
      <w:r w:rsidRPr="00B5325D">
        <w:t>Build institutional capacities within DSISH, MoH, MDPA and related institutions.</w:t>
      </w:r>
    </w:p>
    <w:p w14:paraId="5B41CF67" w14:textId="77777777" w:rsidR="00B5325D" w:rsidRPr="00B5325D" w:rsidRDefault="00B5325D" w:rsidP="00CE2360">
      <w:pPr>
        <w:numPr>
          <w:ilvl w:val="1"/>
          <w:numId w:val="132"/>
        </w:numPr>
        <w:spacing w:after="160" w:line="259" w:lineRule="auto"/>
        <w:contextualSpacing/>
      </w:pPr>
      <w:r w:rsidRPr="00B5325D">
        <w:t>Ensure standardization of all processes and products developed as part of IHIS.</w:t>
      </w:r>
    </w:p>
    <w:p w14:paraId="06BE7F68" w14:textId="77777777" w:rsidR="00B5325D" w:rsidRPr="00B5325D" w:rsidRDefault="00B5325D" w:rsidP="00CE2360">
      <w:pPr>
        <w:numPr>
          <w:ilvl w:val="1"/>
          <w:numId w:val="132"/>
        </w:numPr>
        <w:spacing w:after="160" w:line="259" w:lineRule="auto"/>
        <w:contextualSpacing/>
      </w:pPr>
      <w:r w:rsidRPr="00B5325D">
        <w:t>Support PIU and MoH in meeting World Bank technical reporting, monitoring and audit requirements.</w:t>
      </w:r>
    </w:p>
    <w:p w14:paraId="552A7C37" w14:textId="77777777" w:rsidR="00B5325D" w:rsidRPr="00B5325D" w:rsidRDefault="00B5325D" w:rsidP="00B5325D">
      <w:pPr>
        <w:rPr>
          <w:b/>
          <w:bCs/>
        </w:rPr>
      </w:pPr>
      <w:r w:rsidRPr="00B5325D">
        <w:rPr>
          <w:b/>
          <w:bCs/>
        </w:rPr>
        <w:t>2.2 Alignment with Kosovo IHIS Digital Health Blueprint (2024–2030)</w:t>
      </w:r>
    </w:p>
    <w:p w14:paraId="59EC361A" w14:textId="77777777" w:rsidR="00B5325D" w:rsidRPr="00B5325D" w:rsidRDefault="00B5325D" w:rsidP="00CE2360">
      <w:pPr>
        <w:numPr>
          <w:ilvl w:val="0"/>
          <w:numId w:val="8"/>
        </w:numPr>
        <w:spacing w:after="160" w:line="259" w:lineRule="auto"/>
      </w:pPr>
      <w:r w:rsidRPr="00B5325D">
        <w:t>The SDHP shall ensure that all interventions and recommendations are fully aligned with the Blueprint, including:</w:t>
      </w:r>
    </w:p>
    <w:p w14:paraId="55E46168" w14:textId="77777777" w:rsidR="00B5325D" w:rsidRPr="00B5325D" w:rsidRDefault="00B5325D" w:rsidP="00CE2360">
      <w:pPr>
        <w:numPr>
          <w:ilvl w:val="0"/>
          <w:numId w:val="66"/>
        </w:numPr>
        <w:spacing w:after="160" w:line="259" w:lineRule="auto"/>
        <w:contextualSpacing/>
      </w:pPr>
      <w:r w:rsidRPr="00B5325D">
        <w:t>Implementation of an OpenHIE-based architecture adapted to Kosovo;</w:t>
      </w:r>
    </w:p>
    <w:p w14:paraId="3579A414" w14:textId="77777777" w:rsidR="00B5325D" w:rsidRPr="00B5325D" w:rsidRDefault="00B5325D" w:rsidP="00CE2360">
      <w:pPr>
        <w:numPr>
          <w:ilvl w:val="0"/>
          <w:numId w:val="66"/>
        </w:numPr>
        <w:spacing w:after="160" w:line="259" w:lineRule="auto"/>
        <w:contextualSpacing/>
      </w:pPr>
      <w:r w:rsidRPr="00B5325D">
        <w:t>Development of core IHIS components: registries, IL, SHR and terminology services;</w:t>
      </w:r>
    </w:p>
    <w:p w14:paraId="1698702E" w14:textId="77777777" w:rsidR="00B5325D" w:rsidRPr="00B5325D" w:rsidRDefault="00B5325D" w:rsidP="00CE2360">
      <w:pPr>
        <w:numPr>
          <w:ilvl w:val="0"/>
          <w:numId w:val="66"/>
        </w:numPr>
        <w:spacing w:after="160" w:line="259" w:lineRule="auto"/>
        <w:contextualSpacing/>
      </w:pPr>
      <w:r w:rsidRPr="00B5325D">
        <w:t>Development of POS applications (EHR/EMR, ePrescribing, eReferral, Screening, Telehealth, etc.) in line with standards;</w:t>
      </w:r>
    </w:p>
    <w:p w14:paraId="7114512D" w14:textId="77777777" w:rsidR="00B5325D" w:rsidRPr="00B5325D" w:rsidRDefault="00B5325D" w:rsidP="00CE2360">
      <w:pPr>
        <w:numPr>
          <w:ilvl w:val="0"/>
          <w:numId w:val="66"/>
        </w:numPr>
        <w:spacing w:after="160" w:line="259" w:lineRule="auto"/>
        <w:contextualSpacing/>
      </w:pPr>
      <w:r w:rsidRPr="00B5325D">
        <w:t>Alignment with the technical and institutional governance model defined in the Blueprint;</w:t>
      </w:r>
    </w:p>
    <w:p w14:paraId="337B1B97" w14:textId="77777777" w:rsidR="00B5325D" w:rsidRPr="00B5325D" w:rsidRDefault="00B5325D" w:rsidP="00CE2360">
      <w:pPr>
        <w:numPr>
          <w:ilvl w:val="0"/>
          <w:numId w:val="66"/>
        </w:numPr>
        <w:spacing w:after="160" w:line="259" w:lineRule="auto"/>
        <w:contextualSpacing/>
      </w:pPr>
      <w:r w:rsidRPr="00B5325D">
        <w:t>Ensuring that all modules support:</w:t>
      </w:r>
      <w:r w:rsidRPr="00B5325D">
        <w:br/>
        <w:t>• Quality of Care (QoC);</w:t>
      </w:r>
      <w:r w:rsidRPr="00B5325D">
        <w:br/>
        <w:t>• Patient safety; and</w:t>
      </w:r>
      <w:r w:rsidRPr="00B5325D">
        <w:br/>
        <w:t>• Transparency of health financing;</w:t>
      </w:r>
    </w:p>
    <w:p w14:paraId="14DE4D98" w14:textId="77777777" w:rsidR="00B5325D" w:rsidRPr="00B5325D" w:rsidRDefault="00B5325D" w:rsidP="00CE2360">
      <w:pPr>
        <w:numPr>
          <w:ilvl w:val="0"/>
          <w:numId w:val="66"/>
        </w:numPr>
        <w:spacing w:after="160" w:line="259" w:lineRule="auto"/>
        <w:contextualSpacing/>
      </w:pPr>
      <w:r w:rsidRPr="00B5325D">
        <w:t>Harmonization of digital health strategies with broader e-Government developments.</w:t>
      </w:r>
    </w:p>
    <w:p w14:paraId="2F537C9D" w14:textId="77777777" w:rsidR="00B5325D" w:rsidRPr="00B5325D" w:rsidRDefault="00B5325D" w:rsidP="00B5325D">
      <w:pPr>
        <w:rPr>
          <w:b/>
          <w:bCs/>
        </w:rPr>
      </w:pPr>
      <w:r w:rsidRPr="00B5325D">
        <w:rPr>
          <w:b/>
          <w:bCs/>
        </w:rPr>
        <w:t>2.3 Technical Rationale</w:t>
      </w:r>
    </w:p>
    <w:p w14:paraId="30E055F3" w14:textId="77777777" w:rsidR="00B5325D" w:rsidRPr="00B5325D" w:rsidRDefault="00B5325D" w:rsidP="00CE2360">
      <w:pPr>
        <w:numPr>
          <w:ilvl w:val="0"/>
          <w:numId w:val="9"/>
        </w:numPr>
        <w:spacing w:after="160" w:line="259" w:lineRule="auto"/>
      </w:pPr>
      <w:r w:rsidRPr="00B5325D">
        <w:t>Implementing IHIS without specialized oversight entails risks of:</w:t>
      </w:r>
    </w:p>
    <w:p w14:paraId="294E069F" w14:textId="77777777" w:rsidR="00B5325D" w:rsidRPr="00B5325D" w:rsidRDefault="00B5325D" w:rsidP="00CE2360">
      <w:pPr>
        <w:numPr>
          <w:ilvl w:val="0"/>
          <w:numId w:val="67"/>
        </w:numPr>
        <w:spacing w:after="160" w:line="259" w:lineRule="auto"/>
        <w:contextualSpacing/>
      </w:pPr>
      <w:r w:rsidRPr="00B5325D">
        <w:t>Delays in implementation of IHIS components as planned;</w:t>
      </w:r>
    </w:p>
    <w:p w14:paraId="3160D635" w14:textId="77777777" w:rsidR="00B5325D" w:rsidRPr="00B5325D" w:rsidRDefault="00B5325D" w:rsidP="00CE2360">
      <w:pPr>
        <w:numPr>
          <w:ilvl w:val="0"/>
          <w:numId w:val="67"/>
        </w:numPr>
        <w:spacing w:after="160" w:line="259" w:lineRule="auto"/>
        <w:contextualSpacing/>
      </w:pPr>
      <w:r w:rsidRPr="00B5325D">
        <w:t>Fragmented solutions and vendor lock-in;</w:t>
      </w:r>
    </w:p>
    <w:p w14:paraId="6B067DED" w14:textId="77777777" w:rsidR="00B5325D" w:rsidRPr="00B5325D" w:rsidRDefault="00B5325D" w:rsidP="00CE2360">
      <w:pPr>
        <w:numPr>
          <w:ilvl w:val="0"/>
          <w:numId w:val="67"/>
        </w:numPr>
        <w:spacing w:after="160" w:line="259" w:lineRule="auto"/>
        <w:contextualSpacing/>
      </w:pPr>
      <w:r w:rsidRPr="00B5325D">
        <w:t>Non-compliance with standards;</w:t>
      </w:r>
    </w:p>
    <w:p w14:paraId="7319E2A8" w14:textId="77777777" w:rsidR="00B5325D" w:rsidRPr="00B5325D" w:rsidRDefault="00B5325D" w:rsidP="00CE2360">
      <w:pPr>
        <w:numPr>
          <w:ilvl w:val="0"/>
          <w:numId w:val="67"/>
        </w:numPr>
        <w:spacing w:after="160" w:line="259" w:lineRule="auto"/>
        <w:contextualSpacing/>
      </w:pPr>
      <w:r w:rsidRPr="00B5325D">
        <w:t>Unsustainable investments and high maintenance costs;</w:t>
      </w:r>
    </w:p>
    <w:p w14:paraId="43194715" w14:textId="77777777" w:rsidR="00B5325D" w:rsidRPr="00B5325D" w:rsidRDefault="00B5325D" w:rsidP="00CE2360">
      <w:pPr>
        <w:numPr>
          <w:ilvl w:val="0"/>
          <w:numId w:val="67"/>
        </w:numPr>
        <w:spacing w:after="160" w:line="259" w:lineRule="auto"/>
        <w:contextualSpacing/>
      </w:pPr>
      <w:r w:rsidRPr="00B5325D">
        <w:t>An architecture that cannot be certified for interoperability;</w:t>
      </w:r>
    </w:p>
    <w:p w14:paraId="3BC8DACE" w14:textId="77777777" w:rsidR="00B5325D" w:rsidRPr="00B5325D" w:rsidRDefault="00B5325D" w:rsidP="00CE2360">
      <w:pPr>
        <w:numPr>
          <w:ilvl w:val="0"/>
          <w:numId w:val="67"/>
        </w:numPr>
        <w:spacing w:after="160" w:line="259" w:lineRule="auto"/>
        <w:contextualSpacing/>
      </w:pPr>
      <w:r w:rsidRPr="00B5325D">
        <w:t>Intellectual Property Rights (IPR) exposure and legal liabilities;</w:t>
      </w:r>
    </w:p>
    <w:p w14:paraId="237ED313" w14:textId="77777777" w:rsidR="00B5325D" w:rsidRPr="00B5325D" w:rsidRDefault="00B5325D" w:rsidP="00CE2360">
      <w:pPr>
        <w:numPr>
          <w:ilvl w:val="0"/>
          <w:numId w:val="67"/>
        </w:numPr>
        <w:spacing w:after="160" w:line="259" w:lineRule="auto"/>
        <w:contextualSpacing/>
      </w:pPr>
      <w:r w:rsidRPr="00B5325D">
        <w:lastRenderedPageBreak/>
        <w:t>Increased risks to data privacy and security.</w:t>
      </w:r>
    </w:p>
    <w:p w14:paraId="53744942" w14:textId="77777777" w:rsidR="00B5325D" w:rsidRPr="00B5325D" w:rsidRDefault="00B5325D" w:rsidP="00CE2360">
      <w:pPr>
        <w:numPr>
          <w:ilvl w:val="0"/>
          <w:numId w:val="9"/>
        </w:numPr>
        <w:spacing w:after="160" w:line="259" w:lineRule="auto"/>
      </w:pPr>
      <w:r w:rsidRPr="00B5325D">
        <w:t xml:space="preserve">The SDHP will provide </w:t>
      </w:r>
      <w:r w:rsidRPr="00B5325D">
        <w:rPr>
          <w:b/>
          <w:bCs/>
        </w:rPr>
        <w:t>independent expertise</w:t>
      </w:r>
      <w:r w:rsidRPr="00B5325D">
        <w:t xml:space="preserve"> to:</w:t>
      </w:r>
    </w:p>
    <w:p w14:paraId="2F2B3C26" w14:textId="77777777" w:rsidR="00B5325D" w:rsidRPr="00B5325D" w:rsidRDefault="00B5325D" w:rsidP="00CE2360">
      <w:pPr>
        <w:numPr>
          <w:ilvl w:val="0"/>
          <w:numId w:val="68"/>
        </w:numPr>
        <w:spacing w:after="160" w:line="259" w:lineRule="auto"/>
        <w:contextualSpacing/>
      </w:pPr>
      <w:r w:rsidRPr="00B5325D">
        <w:t>Ensure that IHIS architecture is coherent, modular and scalable;</w:t>
      </w:r>
    </w:p>
    <w:p w14:paraId="28AF491C" w14:textId="77777777" w:rsidR="00B5325D" w:rsidRPr="00B5325D" w:rsidRDefault="00B5325D" w:rsidP="00CE2360">
      <w:pPr>
        <w:numPr>
          <w:ilvl w:val="0"/>
          <w:numId w:val="68"/>
        </w:numPr>
        <w:spacing w:after="160" w:line="259" w:lineRule="auto"/>
        <w:contextualSpacing/>
      </w:pPr>
      <w:r w:rsidRPr="00B5325D">
        <w:t>Secure/Overisght compliance with FHIR, IHE, ICD-11, SNOMED, ATC/DDD and related standards;</w:t>
      </w:r>
    </w:p>
    <w:p w14:paraId="67947FB3" w14:textId="77777777" w:rsidR="00B5325D" w:rsidRPr="00B5325D" w:rsidRDefault="00B5325D" w:rsidP="00CE2360">
      <w:pPr>
        <w:numPr>
          <w:ilvl w:val="0"/>
          <w:numId w:val="68"/>
        </w:numPr>
        <w:spacing w:after="160" w:line="259" w:lineRule="auto"/>
        <w:contextualSpacing/>
      </w:pPr>
      <w:r w:rsidRPr="00B5325D">
        <w:t>Facilitate gradual migration of existing systems towards IHIS with minimal disruption;</w:t>
      </w:r>
    </w:p>
    <w:p w14:paraId="46F3EFA3" w14:textId="77777777" w:rsidR="00B5325D" w:rsidRPr="00B5325D" w:rsidRDefault="00B5325D" w:rsidP="00CE2360">
      <w:pPr>
        <w:numPr>
          <w:ilvl w:val="0"/>
          <w:numId w:val="68"/>
        </w:numPr>
        <w:spacing w:after="160" w:line="259" w:lineRule="auto"/>
        <w:contextualSpacing/>
      </w:pPr>
      <w:r w:rsidRPr="00B5325D">
        <w:t>Unified policy for development and lifecycle best practices in multi-vendor environments</w:t>
      </w:r>
    </w:p>
    <w:p w14:paraId="173D127D" w14:textId="77777777" w:rsidR="00B5325D" w:rsidRPr="00B5325D" w:rsidRDefault="00B5325D" w:rsidP="00CE2360">
      <w:pPr>
        <w:numPr>
          <w:ilvl w:val="0"/>
          <w:numId w:val="68"/>
        </w:numPr>
        <w:spacing w:after="160" w:line="259" w:lineRule="auto"/>
        <w:contextualSpacing/>
      </w:pPr>
      <w:r w:rsidRPr="00B5325D">
        <w:t>Help DSISH transition from a mainly technical support role to a strong national digital governance role;</w:t>
      </w:r>
    </w:p>
    <w:p w14:paraId="1CFB09D2" w14:textId="77777777" w:rsidR="00B5325D" w:rsidRPr="00B5325D" w:rsidRDefault="00B5325D" w:rsidP="00CE2360">
      <w:pPr>
        <w:numPr>
          <w:ilvl w:val="0"/>
          <w:numId w:val="68"/>
        </w:numPr>
        <w:spacing w:after="160" w:line="259" w:lineRule="auto"/>
        <w:contextualSpacing/>
      </w:pPr>
      <w:r w:rsidRPr="00B5325D">
        <w:t>Allow MoH/DSISH to focus on governance, policy and decision-making, while the SDHP covers technical and QA/QC functions.</w:t>
      </w:r>
    </w:p>
    <w:p w14:paraId="65B490E8" w14:textId="77777777" w:rsidR="00B5325D" w:rsidRPr="00B5325D" w:rsidRDefault="00B5325D" w:rsidP="00B5325D">
      <w:pPr>
        <w:rPr>
          <w:b/>
          <w:bCs/>
        </w:rPr>
      </w:pPr>
      <w:r w:rsidRPr="00B5325D">
        <w:rPr>
          <w:b/>
          <w:bCs/>
        </w:rPr>
        <w:t>3. SCOPE OF WORK</w:t>
      </w:r>
    </w:p>
    <w:p w14:paraId="5B280965" w14:textId="77777777" w:rsidR="00B5325D" w:rsidRPr="00B5325D" w:rsidRDefault="00B5325D" w:rsidP="00B5325D">
      <w:r w:rsidRPr="00B5325D">
        <w:rPr>
          <w:i/>
          <w:iCs/>
        </w:rPr>
        <w:t>(20 sub-sections)</w:t>
      </w:r>
    </w:p>
    <w:p w14:paraId="29FD3DDC" w14:textId="77777777" w:rsidR="00B5325D" w:rsidRPr="00B5325D" w:rsidRDefault="00B5325D" w:rsidP="00B5325D">
      <w:pPr>
        <w:rPr>
          <w:b/>
          <w:bCs/>
        </w:rPr>
      </w:pPr>
      <w:r w:rsidRPr="00B5325D">
        <w:rPr>
          <w:b/>
          <w:bCs/>
        </w:rPr>
        <w:t>3.1 Comprehensive Assessment of Existing Systems</w:t>
      </w:r>
    </w:p>
    <w:p w14:paraId="733AF66A" w14:textId="77777777" w:rsidR="00B5325D" w:rsidRPr="00B5325D" w:rsidRDefault="00B5325D" w:rsidP="00CE2360">
      <w:pPr>
        <w:numPr>
          <w:ilvl w:val="0"/>
          <w:numId w:val="10"/>
        </w:numPr>
        <w:spacing w:after="160" w:line="259" w:lineRule="auto"/>
      </w:pPr>
      <w:r w:rsidRPr="00B5325D">
        <w:t>Conduct a comprehensive assessment of BHIS, SMSF, MEDLIS, SMSN, systems at UCCK, regional hospitals and ASHI infrastructure to:</w:t>
      </w:r>
    </w:p>
    <w:p w14:paraId="380C2403" w14:textId="77777777" w:rsidR="00B5325D" w:rsidRPr="00B5325D" w:rsidRDefault="00B5325D" w:rsidP="00CE2360">
      <w:pPr>
        <w:numPr>
          <w:ilvl w:val="0"/>
          <w:numId w:val="69"/>
        </w:numPr>
        <w:spacing w:after="160" w:line="259" w:lineRule="auto"/>
        <w:contextualSpacing/>
      </w:pPr>
      <w:r w:rsidRPr="00B5325D">
        <w:t>Identify technical, architectural and operational gaps; and</w:t>
      </w:r>
    </w:p>
    <w:p w14:paraId="44CE6952" w14:textId="77777777" w:rsidR="00B5325D" w:rsidRPr="00B5325D" w:rsidRDefault="00B5325D" w:rsidP="00CE2360">
      <w:pPr>
        <w:numPr>
          <w:ilvl w:val="0"/>
          <w:numId w:val="69"/>
        </w:numPr>
        <w:spacing w:after="160" w:line="259" w:lineRule="auto"/>
        <w:contextualSpacing/>
      </w:pPr>
      <w:r w:rsidRPr="00B5325D">
        <w:t>Propose a migration and integration plan for IHIS.</w:t>
      </w:r>
    </w:p>
    <w:p w14:paraId="3DAB4DA6" w14:textId="77777777" w:rsidR="00B5325D" w:rsidRPr="00B5325D" w:rsidRDefault="00B5325D" w:rsidP="00B5325D">
      <w:pPr>
        <w:rPr>
          <w:b/>
          <w:bCs/>
        </w:rPr>
      </w:pPr>
      <w:r w:rsidRPr="00B5325D">
        <w:rPr>
          <w:b/>
          <w:bCs/>
        </w:rPr>
        <w:t>3.2 IHIS Architecture Validation</w:t>
      </w:r>
    </w:p>
    <w:p w14:paraId="6FCEB17E" w14:textId="77777777" w:rsidR="00B5325D" w:rsidRPr="00B5325D" w:rsidRDefault="00B5325D" w:rsidP="00CE2360">
      <w:pPr>
        <w:numPr>
          <w:ilvl w:val="0"/>
          <w:numId w:val="11"/>
        </w:numPr>
        <w:spacing w:after="160" w:line="259" w:lineRule="auto"/>
      </w:pPr>
      <w:r w:rsidRPr="00B5325D">
        <w:t>Validate IHIS architecture against:</w:t>
      </w:r>
    </w:p>
    <w:p w14:paraId="677C26F5" w14:textId="77777777" w:rsidR="00B5325D" w:rsidRPr="00B5325D" w:rsidRDefault="00B5325D" w:rsidP="00CE2360">
      <w:pPr>
        <w:numPr>
          <w:ilvl w:val="0"/>
          <w:numId w:val="70"/>
        </w:numPr>
        <w:spacing w:after="160" w:line="259" w:lineRule="auto"/>
        <w:contextualSpacing/>
      </w:pPr>
      <w:r w:rsidRPr="00B5325D">
        <w:t>OpenHIE;</w:t>
      </w:r>
    </w:p>
    <w:p w14:paraId="20EF6C55" w14:textId="77777777" w:rsidR="00B5325D" w:rsidRPr="00B5325D" w:rsidRDefault="00B5325D" w:rsidP="00CE2360">
      <w:pPr>
        <w:numPr>
          <w:ilvl w:val="0"/>
          <w:numId w:val="70"/>
        </w:numPr>
        <w:spacing w:after="160" w:line="259" w:lineRule="auto"/>
        <w:contextualSpacing/>
      </w:pPr>
      <w:r w:rsidRPr="00B5325D">
        <w:t>Digital Health Blueprint;</w:t>
      </w:r>
    </w:p>
    <w:p w14:paraId="1C1BBEDD" w14:textId="77777777" w:rsidR="00B5325D" w:rsidRPr="00B5325D" w:rsidRDefault="00B5325D" w:rsidP="00CE2360">
      <w:pPr>
        <w:numPr>
          <w:ilvl w:val="0"/>
          <w:numId w:val="70"/>
        </w:numPr>
        <w:spacing w:after="160" w:line="259" w:lineRule="auto"/>
        <w:contextualSpacing/>
      </w:pPr>
      <w:r w:rsidRPr="00B5325D">
        <w:t>FHIR R4/R5; and</w:t>
      </w:r>
    </w:p>
    <w:p w14:paraId="6F75F0C9" w14:textId="77777777" w:rsidR="00B5325D" w:rsidRPr="00B5325D" w:rsidRDefault="00B5325D" w:rsidP="00CE2360">
      <w:pPr>
        <w:numPr>
          <w:ilvl w:val="0"/>
          <w:numId w:val="70"/>
        </w:numPr>
        <w:spacing w:after="160" w:line="259" w:lineRule="auto"/>
        <w:contextualSpacing/>
      </w:pPr>
      <w:r w:rsidRPr="00B5325D">
        <w:t>Relevant IHE Profiles.</w:t>
      </w:r>
    </w:p>
    <w:p w14:paraId="1AA33A52" w14:textId="77777777" w:rsidR="00B5325D" w:rsidRPr="00B5325D" w:rsidRDefault="00B5325D" w:rsidP="00CE2360">
      <w:pPr>
        <w:numPr>
          <w:ilvl w:val="0"/>
          <w:numId w:val="11"/>
        </w:numPr>
        <w:spacing w:after="160" w:line="259" w:lineRule="auto"/>
      </w:pPr>
      <w:r w:rsidRPr="00B5325D">
        <w:t xml:space="preserve">Prepare an </w:t>
      </w:r>
      <w:r w:rsidRPr="00B5325D">
        <w:rPr>
          <w:b/>
          <w:bCs/>
        </w:rPr>
        <w:t>Architecture Validation Report</w:t>
      </w:r>
      <w:r w:rsidRPr="00B5325D">
        <w:t xml:space="preserve"> with logical and physical models, data flows and concrete recommendations.</w:t>
      </w:r>
    </w:p>
    <w:p w14:paraId="03011377" w14:textId="77777777" w:rsidR="00B5325D" w:rsidRPr="00B5325D" w:rsidRDefault="00B5325D" w:rsidP="00B5325D">
      <w:pPr>
        <w:rPr>
          <w:b/>
          <w:bCs/>
        </w:rPr>
      </w:pPr>
      <w:r w:rsidRPr="00B5325D">
        <w:rPr>
          <w:b/>
          <w:bCs/>
        </w:rPr>
        <w:t>3.3 Development of Technical Specifications and ToRs</w:t>
      </w:r>
    </w:p>
    <w:p w14:paraId="5B546E22" w14:textId="77777777" w:rsidR="00B5325D" w:rsidRPr="00B5325D" w:rsidRDefault="00B5325D" w:rsidP="00CE2360">
      <w:pPr>
        <w:numPr>
          <w:ilvl w:val="0"/>
          <w:numId w:val="12"/>
        </w:numPr>
        <w:spacing w:after="160" w:line="259" w:lineRule="auto"/>
      </w:pPr>
      <w:r w:rsidRPr="00B5325D">
        <w:t>Prepare ToRs with technical and functional specifications for at least the following:</w:t>
      </w:r>
    </w:p>
    <w:p w14:paraId="5111E725" w14:textId="77777777" w:rsidR="00B5325D" w:rsidRPr="00B5325D" w:rsidRDefault="00B5325D" w:rsidP="00CE2360">
      <w:pPr>
        <w:numPr>
          <w:ilvl w:val="0"/>
          <w:numId w:val="71"/>
        </w:numPr>
        <w:spacing w:after="160" w:line="259" w:lineRule="auto"/>
        <w:contextualSpacing/>
      </w:pPr>
      <w:r w:rsidRPr="00B5325D">
        <w:t>Interoperability Layer (IL);</w:t>
      </w:r>
    </w:p>
    <w:p w14:paraId="36DD4A49" w14:textId="77777777" w:rsidR="00B5325D" w:rsidRPr="00B5325D" w:rsidRDefault="00B5325D" w:rsidP="00CE2360">
      <w:pPr>
        <w:numPr>
          <w:ilvl w:val="0"/>
          <w:numId w:val="71"/>
        </w:numPr>
        <w:spacing w:after="160" w:line="259" w:lineRule="auto"/>
        <w:contextualSpacing/>
      </w:pPr>
      <w:r w:rsidRPr="00B5325D">
        <w:t>Shared Health Record (SHR);</w:t>
      </w:r>
    </w:p>
    <w:p w14:paraId="6277B62C" w14:textId="77777777" w:rsidR="00B5325D" w:rsidRPr="00B5325D" w:rsidRDefault="00B5325D" w:rsidP="00CE2360">
      <w:pPr>
        <w:numPr>
          <w:ilvl w:val="0"/>
          <w:numId w:val="71"/>
        </w:numPr>
        <w:spacing w:after="160" w:line="259" w:lineRule="auto"/>
        <w:contextualSpacing/>
      </w:pPr>
      <w:r w:rsidRPr="00B5325D">
        <w:t>Client, Facility, Health Worker and Drug Registries;</w:t>
      </w:r>
    </w:p>
    <w:p w14:paraId="2594A627" w14:textId="77777777" w:rsidR="00B5325D" w:rsidRPr="00B5325D" w:rsidRDefault="00B5325D" w:rsidP="00CE2360">
      <w:pPr>
        <w:numPr>
          <w:ilvl w:val="0"/>
          <w:numId w:val="71"/>
        </w:numPr>
        <w:spacing w:after="160" w:line="259" w:lineRule="auto"/>
        <w:contextualSpacing/>
      </w:pPr>
      <w:r w:rsidRPr="00B5325D">
        <w:t>Terminology Service;</w:t>
      </w:r>
    </w:p>
    <w:p w14:paraId="52B6FCC9" w14:textId="77777777" w:rsidR="00B5325D" w:rsidRPr="00B5325D" w:rsidRDefault="00B5325D" w:rsidP="00CE2360">
      <w:pPr>
        <w:numPr>
          <w:ilvl w:val="0"/>
          <w:numId w:val="71"/>
        </w:numPr>
        <w:spacing w:after="160" w:line="259" w:lineRule="auto"/>
        <w:contextualSpacing/>
      </w:pPr>
      <w:r w:rsidRPr="00B5325D">
        <w:t>Clinical POS Systems (EHR/EMR, ePrescribing, eReferral, Vaccination, Screening);</w:t>
      </w:r>
    </w:p>
    <w:p w14:paraId="510C83F5" w14:textId="77777777" w:rsidR="00B5325D" w:rsidRPr="00B5325D" w:rsidRDefault="00B5325D" w:rsidP="00CE2360">
      <w:pPr>
        <w:numPr>
          <w:ilvl w:val="0"/>
          <w:numId w:val="71"/>
        </w:numPr>
        <w:spacing w:after="160" w:line="259" w:lineRule="auto"/>
        <w:contextualSpacing/>
      </w:pPr>
      <w:r w:rsidRPr="00B5325D">
        <w:t>HCMIS and integration with HIS/HIE;</w:t>
      </w:r>
    </w:p>
    <w:p w14:paraId="682F3F25" w14:textId="77777777" w:rsidR="00B5325D" w:rsidRPr="00B5325D" w:rsidRDefault="00B5325D" w:rsidP="00CE2360">
      <w:pPr>
        <w:numPr>
          <w:ilvl w:val="0"/>
          <w:numId w:val="71"/>
        </w:numPr>
        <w:spacing w:after="160" w:line="259" w:lineRule="auto"/>
        <w:contextualSpacing/>
      </w:pPr>
      <w:r w:rsidRPr="00B5325D">
        <w:t>Data centre infrastructure (servers, storage, VMware, network, security) based on the GoK’s cloud and network strategy and policies;</w:t>
      </w:r>
    </w:p>
    <w:p w14:paraId="779652EB" w14:textId="77777777" w:rsidR="00B5325D" w:rsidRPr="00B5325D" w:rsidRDefault="00B5325D" w:rsidP="00CE2360">
      <w:pPr>
        <w:numPr>
          <w:ilvl w:val="0"/>
          <w:numId w:val="71"/>
        </w:numPr>
        <w:spacing w:after="160" w:line="259" w:lineRule="auto"/>
        <w:contextualSpacing/>
      </w:pPr>
      <w:r w:rsidRPr="00B5325D">
        <w:lastRenderedPageBreak/>
        <w:t>Cloud readiness and hybrid on-premise/cloud options based on the GoK’s cloud strategy and policies.</w:t>
      </w:r>
    </w:p>
    <w:p w14:paraId="5CF7F176" w14:textId="77777777" w:rsidR="00B5325D" w:rsidRPr="00B5325D" w:rsidRDefault="00B5325D" w:rsidP="00B5325D">
      <w:pPr>
        <w:rPr>
          <w:b/>
          <w:bCs/>
        </w:rPr>
      </w:pPr>
      <w:r w:rsidRPr="00B5325D">
        <w:rPr>
          <w:b/>
          <w:bCs/>
        </w:rPr>
        <w:t>3.4 Oversight of Vendor Implementations</w:t>
      </w:r>
    </w:p>
    <w:p w14:paraId="2EF731E1" w14:textId="77777777" w:rsidR="00B5325D" w:rsidRPr="00B5325D" w:rsidRDefault="00B5325D" w:rsidP="00CE2360">
      <w:pPr>
        <w:numPr>
          <w:ilvl w:val="0"/>
          <w:numId w:val="13"/>
        </w:numPr>
        <w:spacing w:after="160" w:line="259" w:lineRule="auto"/>
      </w:pPr>
      <w:r w:rsidRPr="00B5325D">
        <w:t>Provide technical oversight for all vendor implementations by:</w:t>
      </w:r>
    </w:p>
    <w:p w14:paraId="5C4161CC" w14:textId="77777777" w:rsidR="00B5325D" w:rsidRPr="00B5325D" w:rsidRDefault="00B5325D" w:rsidP="00CE2360">
      <w:pPr>
        <w:numPr>
          <w:ilvl w:val="0"/>
          <w:numId w:val="72"/>
        </w:numPr>
        <w:spacing w:after="160" w:line="259" w:lineRule="auto"/>
        <w:contextualSpacing/>
      </w:pPr>
      <w:r w:rsidRPr="00B5325D">
        <w:t>Verifying compliance with contracts, ToR specifications and standards;</w:t>
      </w:r>
    </w:p>
    <w:p w14:paraId="5351BFE0" w14:textId="77777777" w:rsidR="00B5325D" w:rsidRPr="00B5325D" w:rsidRDefault="00B5325D" w:rsidP="00CE2360">
      <w:pPr>
        <w:numPr>
          <w:ilvl w:val="0"/>
          <w:numId w:val="72"/>
        </w:numPr>
        <w:spacing w:after="160" w:line="259" w:lineRule="auto"/>
        <w:contextualSpacing/>
      </w:pPr>
      <w:r w:rsidRPr="00B5325D">
        <w:t>Require all vendors to follow a standardized software product lifecycle (requirements → design → development/customization → testing → deployment → maintenance → retirement);for COTS components, configuration and parameterization shall be preferred over customization, and any customization shall be minimized, justified, and documented.</w:t>
      </w:r>
    </w:p>
    <w:p w14:paraId="023ADC61" w14:textId="77777777" w:rsidR="00B5325D" w:rsidRPr="00B5325D" w:rsidRDefault="00B5325D" w:rsidP="00CE2360">
      <w:pPr>
        <w:numPr>
          <w:ilvl w:val="0"/>
          <w:numId w:val="72"/>
        </w:numPr>
        <w:spacing w:after="160" w:line="259" w:lineRule="auto"/>
        <w:contextualSpacing/>
      </w:pPr>
      <w:r w:rsidRPr="00B5325D">
        <w:t>Mandate documentation, version control, and change management practices.</w:t>
      </w:r>
    </w:p>
    <w:p w14:paraId="27252D36" w14:textId="77777777" w:rsidR="00B5325D" w:rsidRPr="00B5325D" w:rsidRDefault="00B5325D" w:rsidP="00CE2360">
      <w:pPr>
        <w:numPr>
          <w:ilvl w:val="0"/>
          <w:numId w:val="72"/>
        </w:numPr>
        <w:spacing w:after="160" w:line="259" w:lineRule="auto"/>
        <w:contextualSpacing/>
      </w:pPr>
      <w:r w:rsidRPr="00B5325D">
        <w:t>Reviewing work plans, source code, integrations, testing approaches, documentation and vendor reports.</w:t>
      </w:r>
    </w:p>
    <w:p w14:paraId="58443E65" w14:textId="77777777" w:rsidR="00B5325D" w:rsidRPr="00B5325D" w:rsidRDefault="00B5325D" w:rsidP="00CE2360">
      <w:pPr>
        <w:numPr>
          <w:ilvl w:val="0"/>
          <w:numId w:val="72"/>
        </w:numPr>
        <w:spacing w:after="160" w:line="259" w:lineRule="auto"/>
        <w:contextualSpacing/>
      </w:pPr>
      <w:r w:rsidRPr="00B5325D">
        <w:t xml:space="preserve">Defining and verifing acceptance criteria for each TOR deliverables </w:t>
      </w:r>
    </w:p>
    <w:p w14:paraId="4D1A8800" w14:textId="77777777" w:rsidR="00B5325D" w:rsidRPr="00B5325D" w:rsidRDefault="00B5325D" w:rsidP="00CE2360">
      <w:pPr>
        <w:numPr>
          <w:ilvl w:val="0"/>
          <w:numId w:val="72"/>
        </w:numPr>
        <w:spacing w:after="160" w:line="259" w:lineRule="auto"/>
        <w:contextualSpacing/>
      </w:pPr>
      <w:r w:rsidRPr="00B5325D">
        <w:t>Oversight of FHIR Implementation Guide customization before profiles are finalized.</w:t>
      </w:r>
    </w:p>
    <w:p w14:paraId="0DE043A4" w14:textId="77777777" w:rsidR="00B5325D" w:rsidRPr="00B5325D" w:rsidRDefault="00B5325D" w:rsidP="00CE2360">
      <w:pPr>
        <w:numPr>
          <w:ilvl w:val="0"/>
          <w:numId w:val="72"/>
        </w:numPr>
        <w:spacing w:after="160" w:line="259" w:lineRule="auto"/>
        <w:contextualSpacing/>
      </w:pPr>
      <w:r w:rsidRPr="00B5325D">
        <w:t>Oversight and guidance on country-specific customization of terminology codes (e.g., SNOMED CT).</w:t>
      </w:r>
    </w:p>
    <w:p w14:paraId="6F8FA3AC" w14:textId="77777777" w:rsidR="00B5325D" w:rsidRPr="00B5325D" w:rsidRDefault="00B5325D" w:rsidP="00CE2360">
      <w:pPr>
        <w:numPr>
          <w:ilvl w:val="0"/>
          <w:numId w:val="72"/>
        </w:numPr>
        <w:spacing w:after="160" w:line="259" w:lineRule="auto"/>
        <w:contextualSpacing/>
      </w:pPr>
      <w:r w:rsidRPr="00B5325D">
        <w:t>Integration of terminology services as a core element within the Interoperability Layer (IL).</w:t>
      </w:r>
    </w:p>
    <w:p w14:paraId="7486E70E" w14:textId="77777777" w:rsidR="00B5325D" w:rsidRPr="00B5325D" w:rsidRDefault="00B5325D" w:rsidP="00CE2360">
      <w:pPr>
        <w:numPr>
          <w:ilvl w:val="0"/>
          <w:numId w:val="72"/>
        </w:numPr>
        <w:spacing w:after="160" w:line="259" w:lineRule="auto"/>
        <w:contextualSpacing/>
      </w:pPr>
      <w:r w:rsidRPr="00B5325D">
        <w:t>Oversight of Drug Registry within the Interoperability Layer (IL).</w:t>
      </w:r>
    </w:p>
    <w:p w14:paraId="765B01BD" w14:textId="77777777" w:rsidR="00B5325D" w:rsidRPr="00B5325D" w:rsidRDefault="00B5325D" w:rsidP="00CE2360">
      <w:pPr>
        <w:numPr>
          <w:ilvl w:val="0"/>
          <w:numId w:val="72"/>
        </w:numPr>
        <w:spacing w:after="160" w:line="259" w:lineRule="auto"/>
        <w:contextualSpacing/>
      </w:pPr>
      <w:r w:rsidRPr="00B5325D">
        <w:t>Oversight of source code intake, governance and security.</w:t>
      </w:r>
    </w:p>
    <w:p w14:paraId="1C5EA107" w14:textId="77777777" w:rsidR="00B5325D" w:rsidRPr="00B5325D" w:rsidRDefault="00B5325D" w:rsidP="00B5325D">
      <w:pPr>
        <w:rPr>
          <w:b/>
          <w:bCs/>
        </w:rPr>
      </w:pPr>
      <w:r w:rsidRPr="00B5325D">
        <w:rPr>
          <w:b/>
          <w:bCs/>
        </w:rPr>
        <w:t>3.5 SLA Monitoring and Enforcement</w:t>
      </w:r>
    </w:p>
    <w:p w14:paraId="75545CA3" w14:textId="77777777" w:rsidR="00B5325D" w:rsidRPr="00B5325D" w:rsidRDefault="00B5325D" w:rsidP="00CE2360">
      <w:pPr>
        <w:numPr>
          <w:ilvl w:val="0"/>
          <w:numId w:val="14"/>
        </w:numPr>
        <w:spacing w:after="160" w:line="259" w:lineRule="auto"/>
      </w:pPr>
      <w:r w:rsidRPr="00B5325D">
        <w:t>Design the technical SLA model and support DSISH/MDPA in monitoring:</w:t>
      </w:r>
    </w:p>
    <w:p w14:paraId="4072C3EA" w14:textId="77777777" w:rsidR="00B5325D" w:rsidRPr="00B5325D" w:rsidRDefault="00B5325D" w:rsidP="00CE2360">
      <w:pPr>
        <w:numPr>
          <w:ilvl w:val="0"/>
          <w:numId w:val="73"/>
        </w:numPr>
        <w:spacing w:after="160" w:line="259" w:lineRule="auto"/>
        <w:contextualSpacing/>
      </w:pPr>
      <w:r w:rsidRPr="00B5325D">
        <w:t>Uptime and availability;</w:t>
      </w:r>
    </w:p>
    <w:p w14:paraId="0DD2B4AA" w14:textId="77777777" w:rsidR="00B5325D" w:rsidRPr="00B5325D" w:rsidRDefault="00B5325D" w:rsidP="00CE2360">
      <w:pPr>
        <w:numPr>
          <w:ilvl w:val="0"/>
          <w:numId w:val="73"/>
        </w:numPr>
        <w:spacing w:after="160" w:line="259" w:lineRule="auto"/>
        <w:contextualSpacing/>
      </w:pPr>
      <w:r w:rsidRPr="00B5325D">
        <w:t>Response time and error rates;</w:t>
      </w:r>
    </w:p>
    <w:p w14:paraId="67698A43" w14:textId="77777777" w:rsidR="00B5325D" w:rsidRPr="00B5325D" w:rsidRDefault="00B5325D" w:rsidP="00CE2360">
      <w:pPr>
        <w:numPr>
          <w:ilvl w:val="0"/>
          <w:numId w:val="73"/>
        </w:numPr>
        <w:spacing w:after="160" w:line="259" w:lineRule="auto"/>
        <w:contextualSpacing/>
      </w:pPr>
      <w:r w:rsidRPr="00B5325D">
        <w:t>Database performance;</w:t>
      </w:r>
    </w:p>
    <w:p w14:paraId="56EA287F" w14:textId="77777777" w:rsidR="00B5325D" w:rsidRPr="00B5325D" w:rsidRDefault="00B5325D" w:rsidP="00CE2360">
      <w:pPr>
        <w:numPr>
          <w:ilvl w:val="0"/>
          <w:numId w:val="73"/>
        </w:numPr>
        <w:spacing w:after="160" w:line="259" w:lineRule="auto"/>
        <w:contextualSpacing/>
      </w:pPr>
      <w:r w:rsidRPr="00B5325D">
        <w:t>Incident response times;</w:t>
      </w:r>
    </w:p>
    <w:p w14:paraId="70206926" w14:textId="77777777" w:rsidR="00B5325D" w:rsidRPr="00B5325D" w:rsidRDefault="00B5325D" w:rsidP="00CE2360">
      <w:pPr>
        <w:numPr>
          <w:ilvl w:val="0"/>
          <w:numId w:val="73"/>
        </w:numPr>
        <w:spacing w:after="160" w:line="259" w:lineRule="auto"/>
        <w:contextualSpacing/>
      </w:pPr>
      <w:r w:rsidRPr="00B5325D">
        <w:t>Availability of critical services.</w:t>
      </w:r>
    </w:p>
    <w:p w14:paraId="266ECEEB" w14:textId="77777777" w:rsidR="00B5325D" w:rsidRPr="00B5325D" w:rsidRDefault="00B5325D" w:rsidP="00B5325D">
      <w:pPr>
        <w:rPr>
          <w:b/>
          <w:bCs/>
        </w:rPr>
      </w:pPr>
      <w:r w:rsidRPr="00B5325D">
        <w:rPr>
          <w:b/>
          <w:bCs/>
        </w:rPr>
        <w:t>3.6 Quality Assurance (QA) Framework</w:t>
      </w:r>
    </w:p>
    <w:p w14:paraId="0404C772" w14:textId="77777777" w:rsidR="00B5325D" w:rsidRPr="00B5325D" w:rsidRDefault="00B5325D" w:rsidP="00CE2360">
      <w:pPr>
        <w:numPr>
          <w:ilvl w:val="0"/>
          <w:numId w:val="15"/>
        </w:numPr>
        <w:spacing w:after="160" w:line="259" w:lineRule="auto"/>
      </w:pPr>
      <w:r w:rsidRPr="00B5325D">
        <w:t>Develop a unified QA Framework covering:</w:t>
      </w:r>
    </w:p>
    <w:p w14:paraId="46640B20" w14:textId="77777777" w:rsidR="00B5325D" w:rsidRPr="00B5325D" w:rsidRDefault="00B5325D" w:rsidP="00CE2360">
      <w:pPr>
        <w:numPr>
          <w:ilvl w:val="0"/>
          <w:numId w:val="74"/>
        </w:numPr>
        <w:spacing w:after="160" w:line="259" w:lineRule="auto"/>
        <w:contextualSpacing/>
      </w:pPr>
      <w:r w:rsidRPr="00B5325D">
        <w:t>Functional testing;</w:t>
      </w:r>
    </w:p>
    <w:p w14:paraId="070B92A3" w14:textId="77777777" w:rsidR="00B5325D" w:rsidRPr="00B5325D" w:rsidRDefault="00B5325D" w:rsidP="00CE2360">
      <w:pPr>
        <w:numPr>
          <w:ilvl w:val="0"/>
          <w:numId w:val="74"/>
        </w:numPr>
        <w:spacing w:after="160" w:line="259" w:lineRule="auto"/>
        <w:contextualSpacing/>
      </w:pPr>
      <w:r w:rsidRPr="00B5325D">
        <w:t>Integration testing;</w:t>
      </w:r>
    </w:p>
    <w:p w14:paraId="620519AE" w14:textId="77777777" w:rsidR="00B5325D" w:rsidRPr="00B5325D" w:rsidRDefault="00B5325D" w:rsidP="00CE2360">
      <w:pPr>
        <w:numPr>
          <w:ilvl w:val="0"/>
          <w:numId w:val="74"/>
        </w:numPr>
        <w:spacing w:after="160" w:line="259" w:lineRule="auto"/>
        <w:contextualSpacing/>
      </w:pPr>
      <w:r w:rsidRPr="00B5325D">
        <w:t>Performance testing;</w:t>
      </w:r>
    </w:p>
    <w:p w14:paraId="78B71754" w14:textId="77777777" w:rsidR="00B5325D" w:rsidRPr="00B5325D" w:rsidRDefault="00B5325D" w:rsidP="00CE2360">
      <w:pPr>
        <w:numPr>
          <w:ilvl w:val="0"/>
          <w:numId w:val="74"/>
        </w:numPr>
        <w:spacing w:after="160" w:line="259" w:lineRule="auto"/>
        <w:contextualSpacing/>
      </w:pPr>
      <w:r w:rsidRPr="00B5325D">
        <w:t>Security testing.</w:t>
      </w:r>
    </w:p>
    <w:p w14:paraId="2306D9AB" w14:textId="77777777" w:rsidR="00B5325D" w:rsidRPr="00B5325D" w:rsidRDefault="00B5325D" w:rsidP="00CE2360">
      <w:pPr>
        <w:numPr>
          <w:ilvl w:val="0"/>
          <w:numId w:val="15"/>
        </w:numPr>
        <w:spacing w:after="160" w:line="259" w:lineRule="auto"/>
      </w:pPr>
      <w:r w:rsidRPr="00B5325D">
        <w:t xml:space="preserve">Prepare a </w:t>
      </w:r>
      <w:r w:rsidRPr="00B5325D">
        <w:rPr>
          <w:b/>
          <w:bCs/>
        </w:rPr>
        <w:t>QA Plan</w:t>
      </w:r>
      <w:r w:rsidRPr="00B5325D">
        <w:t xml:space="preserve"> and support DSISH/MDPA in implementation.</w:t>
      </w:r>
    </w:p>
    <w:p w14:paraId="58D93B2E" w14:textId="77777777" w:rsidR="00B5325D" w:rsidRPr="00B5325D" w:rsidRDefault="00B5325D" w:rsidP="00B5325D">
      <w:pPr>
        <w:rPr>
          <w:b/>
          <w:bCs/>
        </w:rPr>
      </w:pPr>
      <w:r w:rsidRPr="00B5325D">
        <w:rPr>
          <w:b/>
          <w:bCs/>
        </w:rPr>
        <w:t>3.7 Quality Control (QC) of Deliverables</w:t>
      </w:r>
    </w:p>
    <w:p w14:paraId="20C0272F" w14:textId="77777777" w:rsidR="00B5325D" w:rsidRPr="00B5325D" w:rsidRDefault="00B5325D" w:rsidP="00CE2360">
      <w:pPr>
        <w:numPr>
          <w:ilvl w:val="0"/>
          <w:numId w:val="16"/>
        </w:numPr>
        <w:spacing w:after="160" w:line="259" w:lineRule="auto"/>
      </w:pPr>
      <w:r w:rsidRPr="00B5325D">
        <w:t>Perform QC on all vendor technical deliverables:</w:t>
      </w:r>
    </w:p>
    <w:p w14:paraId="06ABF6E4" w14:textId="77777777" w:rsidR="00B5325D" w:rsidRPr="00B5325D" w:rsidRDefault="00B5325D" w:rsidP="00CE2360">
      <w:pPr>
        <w:numPr>
          <w:ilvl w:val="0"/>
          <w:numId w:val="75"/>
        </w:numPr>
        <w:spacing w:after="160" w:line="259" w:lineRule="auto"/>
        <w:contextualSpacing/>
      </w:pPr>
      <w:r w:rsidRPr="00B5325D">
        <w:t>Architectural documents;</w:t>
      </w:r>
    </w:p>
    <w:p w14:paraId="0E2B40E1" w14:textId="77777777" w:rsidR="00B5325D" w:rsidRPr="00B5325D" w:rsidRDefault="00B5325D" w:rsidP="00CE2360">
      <w:pPr>
        <w:numPr>
          <w:ilvl w:val="0"/>
          <w:numId w:val="75"/>
        </w:numPr>
        <w:spacing w:after="160" w:line="259" w:lineRule="auto"/>
        <w:contextualSpacing/>
      </w:pPr>
      <w:r w:rsidRPr="00B5325D">
        <w:lastRenderedPageBreak/>
        <w:t>APIs and configurations;</w:t>
      </w:r>
    </w:p>
    <w:p w14:paraId="2C64A61F" w14:textId="77777777" w:rsidR="00B5325D" w:rsidRPr="00B5325D" w:rsidRDefault="00B5325D" w:rsidP="00CE2360">
      <w:pPr>
        <w:numPr>
          <w:ilvl w:val="0"/>
          <w:numId w:val="75"/>
        </w:numPr>
        <w:spacing w:after="160" w:line="259" w:lineRule="auto"/>
        <w:contextualSpacing/>
      </w:pPr>
      <w:r w:rsidRPr="00B5325D">
        <w:t>Implementation Guides (IGs);</w:t>
      </w:r>
    </w:p>
    <w:p w14:paraId="2C45B773" w14:textId="77777777" w:rsidR="00B5325D" w:rsidRPr="00B5325D" w:rsidRDefault="00B5325D" w:rsidP="00CE2360">
      <w:pPr>
        <w:numPr>
          <w:ilvl w:val="0"/>
          <w:numId w:val="75"/>
        </w:numPr>
        <w:spacing w:after="160" w:line="259" w:lineRule="auto"/>
        <w:contextualSpacing/>
      </w:pPr>
      <w:r w:rsidRPr="00B5325D">
        <w:t>Test logs.</w:t>
      </w:r>
    </w:p>
    <w:p w14:paraId="099B757F" w14:textId="77777777" w:rsidR="00B5325D" w:rsidRPr="00B5325D" w:rsidRDefault="00B5325D" w:rsidP="00CE2360">
      <w:pPr>
        <w:numPr>
          <w:ilvl w:val="0"/>
          <w:numId w:val="16"/>
        </w:numPr>
        <w:spacing w:after="160" w:line="259" w:lineRule="auto"/>
      </w:pPr>
      <w:r w:rsidRPr="00B5325D">
        <w:t>Evaluate each delivery against agreed specifications and standards, and compliance with GoK strategies, policies and standards.</w:t>
      </w:r>
    </w:p>
    <w:p w14:paraId="2BF73DE3" w14:textId="77777777" w:rsidR="00B5325D" w:rsidRPr="00B5325D" w:rsidRDefault="00B5325D" w:rsidP="00B5325D">
      <w:pPr>
        <w:rPr>
          <w:b/>
          <w:bCs/>
        </w:rPr>
      </w:pPr>
      <w:r w:rsidRPr="00B5325D">
        <w:rPr>
          <w:b/>
          <w:bCs/>
        </w:rPr>
        <w:t>3.8 Interoperability Testing</w:t>
      </w:r>
    </w:p>
    <w:p w14:paraId="470E0282" w14:textId="77777777" w:rsidR="00B5325D" w:rsidRPr="00B5325D" w:rsidRDefault="00B5325D" w:rsidP="00CE2360">
      <w:pPr>
        <w:numPr>
          <w:ilvl w:val="0"/>
          <w:numId w:val="17"/>
        </w:numPr>
        <w:spacing w:after="160" w:line="259" w:lineRule="auto"/>
      </w:pPr>
      <w:r w:rsidRPr="00B5325D">
        <w:t>Design and support execution of interoperability tests based on FHIR and IHE, including:</w:t>
      </w:r>
    </w:p>
    <w:p w14:paraId="7F831548" w14:textId="77777777" w:rsidR="00B5325D" w:rsidRPr="00B5325D" w:rsidRDefault="00B5325D" w:rsidP="00CE2360">
      <w:pPr>
        <w:numPr>
          <w:ilvl w:val="0"/>
          <w:numId w:val="76"/>
        </w:numPr>
        <w:spacing w:after="160" w:line="259" w:lineRule="auto"/>
        <w:contextualSpacing/>
      </w:pPr>
      <w:r w:rsidRPr="00B5325D">
        <w:t>Test-case design;</w:t>
      </w:r>
    </w:p>
    <w:p w14:paraId="62D4661D" w14:textId="77777777" w:rsidR="00B5325D" w:rsidRPr="00B5325D" w:rsidRDefault="00B5325D" w:rsidP="00CE2360">
      <w:pPr>
        <w:numPr>
          <w:ilvl w:val="0"/>
          <w:numId w:val="76"/>
        </w:numPr>
        <w:spacing w:after="160" w:line="259" w:lineRule="auto"/>
        <w:contextualSpacing/>
      </w:pPr>
      <w:r w:rsidRPr="00B5325D">
        <w:t>Configuration of test environments;</w:t>
      </w:r>
    </w:p>
    <w:p w14:paraId="095E433A" w14:textId="77777777" w:rsidR="00B5325D" w:rsidRPr="00B5325D" w:rsidRDefault="00B5325D" w:rsidP="00CE2360">
      <w:pPr>
        <w:numPr>
          <w:ilvl w:val="0"/>
          <w:numId w:val="76"/>
        </w:numPr>
        <w:spacing w:after="160" w:line="259" w:lineRule="auto"/>
        <w:contextualSpacing/>
      </w:pPr>
      <w:r w:rsidRPr="00B5325D">
        <w:t>Use of tools such as IHE Gazelle.</w:t>
      </w:r>
    </w:p>
    <w:p w14:paraId="0045AFA3" w14:textId="77777777" w:rsidR="00B5325D" w:rsidRPr="00B5325D" w:rsidRDefault="00B5325D" w:rsidP="00B5325D">
      <w:pPr>
        <w:rPr>
          <w:b/>
          <w:bCs/>
        </w:rPr>
      </w:pPr>
      <w:r w:rsidRPr="00B5325D">
        <w:rPr>
          <w:b/>
          <w:bCs/>
        </w:rPr>
        <w:t>3.9 Establishment of National Conformance Certification Mechanism</w:t>
      </w:r>
    </w:p>
    <w:p w14:paraId="0C6FB019" w14:textId="77777777" w:rsidR="00B5325D" w:rsidRPr="00B5325D" w:rsidRDefault="00B5325D" w:rsidP="00CE2360">
      <w:pPr>
        <w:numPr>
          <w:ilvl w:val="0"/>
          <w:numId w:val="18"/>
        </w:numPr>
        <w:spacing w:after="160" w:line="259" w:lineRule="auto"/>
      </w:pPr>
      <w:r w:rsidRPr="00B5325D">
        <w:t>Support DSISH/MDPA in establishing a national HIS/HIE conformance certification mechanism by designing:</w:t>
      </w:r>
    </w:p>
    <w:p w14:paraId="33C3652F" w14:textId="77777777" w:rsidR="00B5325D" w:rsidRPr="00B5325D" w:rsidRDefault="00B5325D" w:rsidP="00CE2360">
      <w:pPr>
        <w:numPr>
          <w:ilvl w:val="0"/>
          <w:numId w:val="77"/>
        </w:numPr>
        <w:spacing w:after="160" w:line="259" w:lineRule="auto"/>
        <w:contextualSpacing/>
      </w:pPr>
      <w:r w:rsidRPr="00B5325D">
        <w:t>Processes;</w:t>
      </w:r>
    </w:p>
    <w:p w14:paraId="6A0D8378" w14:textId="77777777" w:rsidR="00B5325D" w:rsidRPr="00B5325D" w:rsidRDefault="00B5325D" w:rsidP="00CE2360">
      <w:pPr>
        <w:numPr>
          <w:ilvl w:val="0"/>
          <w:numId w:val="77"/>
        </w:numPr>
        <w:spacing w:after="160" w:line="259" w:lineRule="auto"/>
        <w:contextualSpacing/>
      </w:pPr>
      <w:r w:rsidRPr="00B5325D">
        <w:t>Criteria;</w:t>
      </w:r>
    </w:p>
    <w:p w14:paraId="23798785" w14:textId="77777777" w:rsidR="00B5325D" w:rsidRPr="00B5325D" w:rsidRDefault="00B5325D" w:rsidP="00CE2360">
      <w:pPr>
        <w:numPr>
          <w:ilvl w:val="0"/>
          <w:numId w:val="77"/>
        </w:numPr>
        <w:spacing w:after="160" w:line="259" w:lineRule="auto"/>
        <w:contextualSpacing/>
      </w:pPr>
      <w:r w:rsidRPr="00B5325D">
        <w:t>Forms;</w:t>
      </w:r>
    </w:p>
    <w:p w14:paraId="0850D149" w14:textId="77777777" w:rsidR="00B5325D" w:rsidRPr="00B5325D" w:rsidRDefault="00B5325D" w:rsidP="00CE2360">
      <w:pPr>
        <w:numPr>
          <w:ilvl w:val="0"/>
          <w:numId w:val="77"/>
        </w:numPr>
        <w:spacing w:after="160" w:line="259" w:lineRule="auto"/>
        <w:contextualSpacing/>
      </w:pPr>
      <w:r w:rsidRPr="00B5325D">
        <w:t>Technical documentation.</w:t>
      </w:r>
    </w:p>
    <w:p w14:paraId="1F799A70" w14:textId="77777777" w:rsidR="00B5325D" w:rsidRPr="00B5325D" w:rsidRDefault="00B5325D" w:rsidP="00CE2360">
      <w:pPr>
        <w:numPr>
          <w:ilvl w:val="0"/>
          <w:numId w:val="77"/>
        </w:numPr>
        <w:spacing w:after="160" w:line="259" w:lineRule="auto"/>
        <w:contextualSpacing/>
      </w:pPr>
      <w:r w:rsidRPr="00B5325D">
        <w:t>A regulatory sandbox for HIS/EHR testing before certification and connection to the Interoperability Layer (HIE)</w:t>
      </w:r>
    </w:p>
    <w:p w14:paraId="17268804" w14:textId="77777777" w:rsidR="00B5325D" w:rsidRPr="00B5325D" w:rsidRDefault="00B5325D" w:rsidP="00CE2360">
      <w:pPr>
        <w:numPr>
          <w:ilvl w:val="0"/>
          <w:numId w:val="18"/>
        </w:numPr>
        <w:spacing w:after="160" w:line="259" w:lineRule="auto"/>
      </w:pPr>
      <w:r w:rsidRPr="00B5325D">
        <w:t>Responsibility for issuing certificates remains with MoH/DSISH/MDPA.</w:t>
      </w:r>
    </w:p>
    <w:p w14:paraId="3C3CC650" w14:textId="77777777" w:rsidR="00B5325D" w:rsidRPr="00B5325D" w:rsidRDefault="00B5325D" w:rsidP="00B5325D">
      <w:pPr>
        <w:rPr>
          <w:b/>
          <w:bCs/>
        </w:rPr>
      </w:pPr>
      <w:r w:rsidRPr="00B5325D">
        <w:rPr>
          <w:b/>
          <w:bCs/>
        </w:rPr>
        <w:t>3.10 Data Governance and Standards Alignment</w:t>
      </w:r>
    </w:p>
    <w:p w14:paraId="0290C222" w14:textId="77777777" w:rsidR="00B5325D" w:rsidRPr="00B5325D" w:rsidRDefault="00B5325D" w:rsidP="00CE2360">
      <w:pPr>
        <w:numPr>
          <w:ilvl w:val="0"/>
          <w:numId w:val="19"/>
        </w:numPr>
        <w:spacing w:after="160" w:line="259" w:lineRule="auto"/>
      </w:pPr>
      <w:r w:rsidRPr="00B5325D">
        <w:t>In cooperation with DSISH/MDPA, draft rules and guidelines for data governance to ensure alignment of:</w:t>
      </w:r>
    </w:p>
    <w:p w14:paraId="06744861" w14:textId="77777777" w:rsidR="00B5325D" w:rsidRPr="00B5325D" w:rsidRDefault="00B5325D" w:rsidP="00CE2360">
      <w:pPr>
        <w:numPr>
          <w:ilvl w:val="0"/>
          <w:numId w:val="78"/>
        </w:numPr>
        <w:spacing w:after="160" w:line="259" w:lineRule="auto"/>
        <w:contextualSpacing/>
      </w:pPr>
      <w:r w:rsidRPr="00B5325D">
        <w:t>Data structures;</w:t>
      </w:r>
    </w:p>
    <w:p w14:paraId="3609634B" w14:textId="77777777" w:rsidR="00B5325D" w:rsidRPr="00B5325D" w:rsidRDefault="00B5325D" w:rsidP="00CE2360">
      <w:pPr>
        <w:numPr>
          <w:ilvl w:val="0"/>
          <w:numId w:val="78"/>
        </w:numPr>
        <w:spacing w:after="160" w:line="259" w:lineRule="auto"/>
        <w:contextualSpacing/>
      </w:pPr>
      <w:r w:rsidRPr="00B5325D">
        <w:t>Codifications;</w:t>
      </w:r>
    </w:p>
    <w:p w14:paraId="21330B9B" w14:textId="77777777" w:rsidR="00B5325D" w:rsidRPr="00B5325D" w:rsidRDefault="00B5325D" w:rsidP="00CE2360">
      <w:pPr>
        <w:numPr>
          <w:ilvl w:val="0"/>
          <w:numId w:val="78"/>
        </w:numPr>
        <w:spacing w:after="160" w:line="259" w:lineRule="auto"/>
        <w:contextualSpacing/>
      </w:pPr>
      <w:r w:rsidRPr="00B5325D">
        <w:t>Metadata;</w:t>
      </w:r>
    </w:p>
    <w:p w14:paraId="3E50FBEC" w14:textId="77777777" w:rsidR="00B5325D" w:rsidRPr="00B5325D" w:rsidRDefault="00B5325D" w:rsidP="00CE2360">
      <w:pPr>
        <w:numPr>
          <w:ilvl w:val="0"/>
          <w:numId w:val="78"/>
        </w:numPr>
        <w:spacing w:after="160" w:line="259" w:lineRule="auto"/>
        <w:contextualSpacing/>
      </w:pPr>
      <w:r w:rsidRPr="00B5325D">
        <w:t>Policies</w:t>
      </w:r>
    </w:p>
    <w:p w14:paraId="43DD5291" w14:textId="77777777" w:rsidR="00B5325D" w:rsidRPr="00B5325D" w:rsidRDefault="00B5325D" w:rsidP="00CE2360">
      <w:pPr>
        <w:numPr>
          <w:ilvl w:val="0"/>
          <w:numId w:val="78"/>
        </w:numPr>
        <w:spacing w:after="160" w:line="259" w:lineRule="auto"/>
        <w:contextualSpacing/>
      </w:pPr>
      <w:r w:rsidRPr="00B5325D">
        <w:t>Terminology services and oversight of coding systems customization (SNOMED CT, ICD-11, ATC/DDD, etc.)</w:t>
      </w:r>
    </w:p>
    <w:p w14:paraId="1CB5699B" w14:textId="77777777" w:rsidR="00B5325D" w:rsidRPr="00B5325D" w:rsidRDefault="00B5325D" w:rsidP="00B5325D">
      <w:r w:rsidRPr="00B5325D">
        <w:t>with international standards and national legislation (e.g. Law No. 06/L-082) and GoK data governance strategy and policy.</w:t>
      </w:r>
    </w:p>
    <w:p w14:paraId="76A12C7B" w14:textId="77777777" w:rsidR="00B5325D" w:rsidRPr="00B5325D" w:rsidRDefault="00B5325D" w:rsidP="00B5325D">
      <w:pPr>
        <w:rPr>
          <w:b/>
          <w:bCs/>
        </w:rPr>
      </w:pPr>
    </w:p>
    <w:p w14:paraId="20346E56" w14:textId="77777777" w:rsidR="00B5325D" w:rsidRPr="00B5325D" w:rsidRDefault="00B5325D" w:rsidP="00B5325D">
      <w:pPr>
        <w:rPr>
          <w:b/>
          <w:bCs/>
        </w:rPr>
      </w:pPr>
      <w:r w:rsidRPr="00B5325D">
        <w:rPr>
          <w:b/>
          <w:bCs/>
        </w:rPr>
        <w:t>3.11 Cybersecurity Strengthening</w:t>
      </w:r>
    </w:p>
    <w:p w14:paraId="16799244" w14:textId="77777777" w:rsidR="00B5325D" w:rsidRPr="00B5325D" w:rsidRDefault="00B5325D" w:rsidP="00CE2360">
      <w:pPr>
        <w:numPr>
          <w:ilvl w:val="0"/>
          <w:numId w:val="20"/>
        </w:numPr>
        <w:spacing w:after="160" w:line="259" w:lineRule="auto"/>
      </w:pPr>
      <w:r w:rsidRPr="00B5325D">
        <w:t>Assess existing security architecture and:</w:t>
      </w:r>
    </w:p>
    <w:p w14:paraId="50ECF6F2" w14:textId="77777777" w:rsidR="00B5325D" w:rsidRPr="00B5325D" w:rsidRDefault="00B5325D" w:rsidP="00CE2360">
      <w:pPr>
        <w:numPr>
          <w:ilvl w:val="0"/>
          <w:numId w:val="79"/>
        </w:numPr>
        <w:spacing w:after="160" w:line="259" w:lineRule="auto"/>
        <w:contextualSpacing/>
      </w:pPr>
      <w:r w:rsidRPr="00B5325D">
        <w:t>Propose hardening measures;</w:t>
      </w:r>
    </w:p>
    <w:p w14:paraId="2DCA7D41" w14:textId="77777777" w:rsidR="00B5325D" w:rsidRPr="00B5325D" w:rsidRDefault="00B5325D" w:rsidP="00CE2360">
      <w:pPr>
        <w:numPr>
          <w:ilvl w:val="0"/>
          <w:numId w:val="79"/>
        </w:numPr>
        <w:spacing w:after="160" w:line="259" w:lineRule="auto"/>
        <w:contextualSpacing/>
      </w:pPr>
      <w:r w:rsidRPr="00B5325D">
        <w:t>Recommend zero-trust practices;</w:t>
      </w:r>
    </w:p>
    <w:p w14:paraId="4C33EA33" w14:textId="77777777" w:rsidR="00B5325D" w:rsidRPr="00B5325D" w:rsidRDefault="00B5325D" w:rsidP="00CE2360">
      <w:pPr>
        <w:numPr>
          <w:ilvl w:val="0"/>
          <w:numId w:val="79"/>
        </w:numPr>
        <w:spacing w:after="160" w:line="259" w:lineRule="auto"/>
        <w:contextualSpacing/>
      </w:pPr>
      <w:r w:rsidRPr="00B5325D">
        <w:t>Support DSISH/MDPA in security testing (e.g. penetration testing);</w:t>
      </w:r>
    </w:p>
    <w:p w14:paraId="7EAC7A38" w14:textId="77777777" w:rsidR="00B5325D" w:rsidRPr="00B5325D" w:rsidRDefault="00B5325D" w:rsidP="00CE2360">
      <w:pPr>
        <w:numPr>
          <w:ilvl w:val="0"/>
          <w:numId w:val="79"/>
        </w:numPr>
        <w:spacing w:after="160" w:line="259" w:lineRule="auto"/>
        <w:contextualSpacing/>
      </w:pPr>
      <w:r w:rsidRPr="00B5325D">
        <w:t>Ensure alignment with national legilsation and GoK cybersecurity strategy and policies.</w:t>
      </w:r>
    </w:p>
    <w:p w14:paraId="39D9B26D" w14:textId="77777777" w:rsidR="00B5325D" w:rsidRPr="00B5325D" w:rsidRDefault="00B5325D" w:rsidP="00B5325D">
      <w:pPr>
        <w:rPr>
          <w:b/>
          <w:bCs/>
        </w:rPr>
      </w:pPr>
      <w:r w:rsidRPr="00B5325D">
        <w:rPr>
          <w:b/>
          <w:bCs/>
        </w:rPr>
        <w:lastRenderedPageBreak/>
        <w:t>3.12 Support to PIU for World Bank Processes</w:t>
      </w:r>
    </w:p>
    <w:p w14:paraId="6F9ED1A4" w14:textId="77777777" w:rsidR="00B5325D" w:rsidRPr="00B5325D" w:rsidRDefault="00B5325D" w:rsidP="00CE2360">
      <w:pPr>
        <w:numPr>
          <w:ilvl w:val="0"/>
          <w:numId w:val="21"/>
        </w:numPr>
        <w:spacing w:after="160" w:line="259" w:lineRule="auto"/>
      </w:pPr>
      <w:r w:rsidRPr="00B5325D">
        <w:t>Support PIU in providing technical inputs and advisory support for World Bank processes, including:</w:t>
      </w:r>
    </w:p>
    <w:p w14:paraId="3ADD7CCF" w14:textId="77777777" w:rsidR="00B5325D" w:rsidRPr="00B5325D" w:rsidRDefault="00B5325D" w:rsidP="00CE2360">
      <w:pPr>
        <w:numPr>
          <w:ilvl w:val="0"/>
          <w:numId w:val="80"/>
        </w:numPr>
        <w:spacing w:after="160" w:line="259" w:lineRule="auto"/>
        <w:contextualSpacing/>
      </w:pPr>
      <w:r w:rsidRPr="00B5325D">
        <w:t>Updates to the risk register;</w:t>
      </w:r>
    </w:p>
    <w:p w14:paraId="5E09F155" w14:textId="77777777" w:rsidR="00B5325D" w:rsidRPr="00B5325D" w:rsidRDefault="00B5325D" w:rsidP="00CE2360">
      <w:pPr>
        <w:numPr>
          <w:ilvl w:val="0"/>
          <w:numId w:val="80"/>
        </w:numPr>
        <w:spacing w:after="160" w:line="259" w:lineRule="auto"/>
        <w:contextualSpacing/>
      </w:pPr>
      <w:r w:rsidRPr="00B5325D">
        <w:t>Technical documents for supervision missions;</w:t>
      </w:r>
    </w:p>
    <w:p w14:paraId="3E7C2571" w14:textId="77777777" w:rsidR="00B5325D" w:rsidRPr="00B5325D" w:rsidRDefault="00B5325D" w:rsidP="00CE2360">
      <w:pPr>
        <w:numPr>
          <w:ilvl w:val="0"/>
          <w:numId w:val="80"/>
        </w:numPr>
        <w:spacing w:after="160" w:line="259" w:lineRule="auto"/>
        <w:contextualSpacing/>
      </w:pPr>
      <w:r w:rsidRPr="00B5325D">
        <w:t>Component closure reports.</w:t>
      </w:r>
    </w:p>
    <w:p w14:paraId="3BB5388B" w14:textId="77777777" w:rsidR="00B5325D" w:rsidRPr="00B5325D" w:rsidRDefault="00B5325D" w:rsidP="00B5325D">
      <w:pPr>
        <w:rPr>
          <w:b/>
          <w:bCs/>
        </w:rPr>
      </w:pPr>
      <w:r w:rsidRPr="00B5325D">
        <w:rPr>
          <w:b/>
          <w:bCs/>
        </w:rPr>
        <w:t>3.13 Integration Strategy for Legacy Systems</w:t>
      </w:r>
    </w:p>
    <w:p w14:paraId="3246F3D4" w14:textId="77777777" w:rsidR="00B5325D" w:rsidRPr="00B5325D" w:rsidRDefault="00B5325D" w:rsidP="00CE2360">
      <w:pPr>
        <w:numPr>
          <w:ilvl w:val="0"/>
          <w:numId w:val="22"/>
        </w:numPr>
        <w:spacing w:after="160" w:line="259" w:lineRule="auto"/>
        <w:rPr>
          <w:rFonts w:ascii="Calibri" w:hAnsi="Calibri" w:cs="Calibri"/>
          <w:color w:val="000000"/>
        </w:rPr>
      </w:pPr>
      <w:r w:rsidRPr="00B5325D">
        <w:t xml:space="preserve">Develop an integration/migration strategy for existing systems towards IHIS, ensuring minimal  disruption to clinical and administrative operations, including: </w:t>
      </w:r>
    </w:p>
    <w:p w14:paraId="6704E2DB" w14:textId="77777777" w:rsidR="00B5325D" w:rsidRPr="00B5325D" w:rsidRDefault="00B5325D" w:rsidP="00CE2360">
      <w:pPr>
        <w:numPr>
          <w:ilvl w:val="0"/>
          <w:numId w:val="124"/>
        </w:numPr>
        <w:spacing w:after="160" w:line="259" w:lineRule="auto"/>
        <w:contextualSpacing/>
        <w:rPr>
          <w:rFonts w:ascii="Calibri" w:hAnsi="Calibri" w:cs="Calibri"/>
          <w:color w:val="000000"/>
        </w:rPr>
      </w:pPr>
      <w:r w:rsidRPr="00B5325D">
        <w:t>Detailed implementation activity timelines;</w:t>
      </w:r>
    </w:p>
    <w:p w14:paraId="417FD967" w14:textId="77777777" w:rsidR="00B5325D" w:rsidRPr="00B5325D" w:rsidRDefault="00B5325D" w:rsidP="00CE2360">
      <w:pPr>
        <w:numPr>
          <w:ilvl w:val="0"/>
          <w:numId w:val="124"/>
        </w:numPr>
        <w:spacing w:after="160" w:line="259" w:lineRule="auto"/>
        <w:contextualSpacing/>
        <w:rPr>
          <w:rFonts w:ascii="Calibri" w:hAnsi="Calibri" w:cs="Calibri"/>
          <w:color w:val="000000"/>
        </w:rPr>
      </w:pPr>
      <w:r w:rsidRPr="00B5325D">
        <w:rPr>
          <w:rFonts w:ascii="Calibri" w:hAnsi="Calibri" w:cs="Calibri"/>
          <w:color w:val="000000"/>
        </w:rPr>
        <w:t>Cost-benefit analysis;</w:t>
      </w:r>
    </w:p>
    <w:p w14:paraId="60C42932" w14:textId="77777777" w:rsidR="00B5325D" w:rsidRPr="00B5325D" w:rsidRDefault="00B5325D" w:rsidP="00CE2360">
      <w:pPr>
        <w:numPr>
          <w:ilvl w:val="0"/>
          <w:numId w:val="124"/>
        </w:numPr>
        <w:spacing w:after="160" w:line="259" w:lineRule="auto"/>
        <w:contextualSpacing/>
        <w:rPr>
          <w:rFonts w:ascii="Calibri" w:hAnsi="Calibri" w:cs="Calibri"/>
          <w:color w:val="000000"/>
        </w:rPr>
      </w:pPr>
      <w:r w:rsidRPr="00B5325D">
        <w:rPr>
          <w:rFonts w:ascii="Calibri" w:hAnsi="Calibri" w:cs="Calibri"/>
          <w:color w:val="000000"/>
        </w:rPr>
        <w:t>Budget estimations.</w:t>
      </w:r>
    </w:p>
    <w:p w14:paraId="606D48C4" w14:textId="77777777" w:rsidR="00B5325D" w:rsidRPr="00B5325D" w:rsidRDefault="00B5325D" w:rsidP="00CE2360">
      <w:pPr>
        <w:numPr>
          <w:ilvl w:val="0"/>
          <w:numId w:val="124"/>
        </w:numPr>
        <w:spacing w:after="160" w:line="259" w:lineRule="auto"/>
        <w:contextualSpacing/>
        <w:rPr>
          <w:rFonts w:ascii="Calibri" w:hAnsi="Calibri" w:cs="Calibri"/>
          <w:color w:val="000000"/>
        </w:rPr>
      </w:pPr>
      <w:r w:rsidRPr="00B5325D">
        <w:t>Oversight of Drug Registry integration within the Interoperability Layer</w:t>
      </w:r>
    </w:p>
    <w:p w14:paraId="5B8D6CBB" w14:textId="77777777" w:rsidR="00B5325D" w:rsidRPr="00B5325D" w:rsidRDefault="00B5325D" w:rsidP="00B5325D">
      <w:pPr>
        <w:spacing w:after="160" w:line="259" w:lineRule="auto"/>
        <w:ind w:left="360"/>
        <w:rPr>
          <w:rFonts w:ascii="Calibri" w:hAnsi="Calibri" w:cs="Calibri"/>
          <w:color w:val="000000"/>
        </w:rPr>
      </w:pPr>
    </w:p>
    <w:p w14:paraId="5B91207E" w14:textId="77777777" w:rsidR="00B5325D" w:rsidRPr="00B5325D" w:rsidRDefault="00B5325D" w:rsidP="00B5325D">
      <w:pPr>
        <w:rPr>
          <w:b/>
          <w:bCs/>
        </w:rPr>
      </w:pPr>
      <w:r w:rsidRPr="00B5325D">
        <w:rPr>
          <w:b/>
          <w:bCs/>
        </w:rPr>
        <w:t>3.14 Development of Change Management Strategy</w:t>
      </w:r>
    </w:p>
    <w:p w14:paraId="69986474" w14:textId="77777777" w:rsidR="00B5325D" w:rsidRPr="00B5325D" w:rsidRDefault="00B5325D" w:rsidP="00CE2360">
      <w:pPr>
        <w:numPr>
          <w:ilvl w:val="0"/>
          <w:numId w:val="23"/>
        </w:numPr>
        <w:spacing w:after="160" w:line="259" w:lineRule="auto"/>
      </w:pPr>
      <w:r w:rsidRPr="00B5325D">
        <w:t>Develop a comprehensive change management strategy for IHIS, including:</w:t>
      </w:r>
    </w:p>
    <w:p w14:paraId="16529873" w14:textId="77777777" w:rsidR="00B5325D" w:rsidRPr="00B5325D" w:rsidRDefault="00B5325D" w:rsidP="00CE2360">
      <w:pPr>
        <w:numPr>
          <w:ilvl w:val="0"/>
          <w:numId w:val="81"/>
        </w:numPr>
        <w:spacing w:after="160" w:line="259" w:lineRule="auto"/>
        <w:contextualSpacing/>
      </w:pPr>
      <w:r w:rsidRPr="00B5325D">
        <w:t>Impact analysis;</w:t>
      </w:r>
    </w:p>
    <w:p w14:paraId="79AF333D" w14:textId="77777777" w:rsidR="00B5325D" w:rsidRPr="00B5325D" w:rsidRDefault="00B5325D" w:rsidP="00CE2360">
      <w:pPr>
        <w:numPr>
          <w:ilvl w:val="0"/>
          <w:numId w:val="81"/>
        </w:numPr>
        <w:spacing w:after="160" w:line="259" w:lineRule="auto"/>
        <w:contextualSpacing/>
      </w:pPr>
      <w:r w:rsidRPr="00B5325D">
        <w:t>Communication plan;</w:t>
      </w:r>
    </w:p>
    <w:p w14:paraId="514DA598" w14:textId="77777777" w:rsidR="00B5325D" w:rsidRPr="00B5325D" w:rsidRDefault="00B5325D" w:rsidP="00CE2360">
      <w:pPr>
        <w:numPr>
          <w:ilvl w:val="0"/>
          <w:numId w:val="81"/>
        </w:numPr>
        <w:spacing w:after="160" w:line="259" w:lineRule="auto"/>
        <w:contextualSpacing/>
      </w:pPr>
      <w:r w:rsidRPr="00B5325D">
        <w:t>Training plan;</w:t>
      </w:r>
    </w:p>
    <w:p w14:paraId="2AD68A91" w14:textId="77777777" w:rsidR="00B5325D" w:rsidRPr="00B5325D" w:rsidRDefault="00B5325D" w:rsidP="00CE2360">
      <w:pPr>
        <w:numPr>
          <w:ilvl w:val="0"/>
          <w:numId w:val="81"/>
        </w:numPr>
        <w:spacing w:after="160" w:line="259" w:lineRule="auto"/>
        <w:contextualSpacing/>
      </w:pPr>
      <w:r w:rsidRPr="00B5325D">
        <w:t>Mechanisms for managing resistance to change.</w:t>
      </w:r>
    </w:p>
    <w:p w14:paraId="038EA80F" w14:textId="77777777" w:rsidR="00B5325D" w:rsidRPr="00B5325D" w:rsidRDefault="00B5325D" w:rsidP="00B5325D">
      <w:pPr>
        <w:rPr>
          <w:b/>
          <w:bCs/>
        </w:rPr>
      </w:pPr>
      <w:r w:rsidRPr="00B5325D">
        <w:rPr>
          <w:b/>
          <w:bCs/>
        </w:rPr>
        <w:t>3.16 Documentation Management</w:t>
      </w:r>
    </w:p>
    <w:p w14:paraId="12D1F097" w14:textId="77777777" w:rsidR="00B5325D" w:rsidRPr="00B5325D" w:rsidRDefault="00B5325D" w:rsidP="00CE2360">
      <w:pPr>
        <w:numPr>
          <w:ilvl w:val="0"/>
          <w:numId w:val="24"/>
        </w:numPr>
        <w:spacing w:after="160" w:line="259" w:lineRule="auto"/>
      </w:pPr>
      <w:r w:rsidRPr="00B5325D">
        <w:t>Ensure full documentation of all technical products, including:</w:t>
      </w:r>
    </w:p>
    <w:p w14:paraId="1B07799E" w14:textId="77777777" w:rsidR="00B5325D" w:rsidRPr="00B5325D" w:rsidRDefault="00B5325D" w:rsidP="00CE2360">
      <w:pPr>
        <w:numPr>
          <w:ilvl w:val="0"/>
          <w:numId w:val="82"/>
        </w:numPr>
        <w:spacing w:after="160" w:line="259" w:lineRule="auto"/>
        <w:contextualSpacing/>
      </w:pPr>
      <w:r w:rsidRPr="00B5325D">
        <w:t>User manuals;</w:t>
      </w:r>
    </w:p>
    <w:p w14:paraId="08D1750C" w14:textId="77777777" w:rsidR="00B5325D" w:rsidRPr="00B5325D" w:rsidRDefault="00B5325D" w:rsidP="00CE2360">
      <w:pPr>
        <w:numPr>
          <w:ilvl w:val="0"/>
          <w:numId w:val="82"/>
        </w:numPr>
        <w:spacing w:after="160" w:line="259" w:lineRule="auto"/>
        <w:contextualSpacing/>
      </w:pPr>
      <w:r w:rsidRPr="00B5325D">
        <w:t>Technical manuals;</w:t>
      </w:r>
    </w:p>
    <w:p w14:paraId="66840E3F" w14:textId="77777777" w:rsidR="00B5325D" w:rsidRPr="00B5325D" w:rsidRDefault="00B5325D" w:rsidP="00CE2360">
      <w:pPr>
        <w:numPr>
          <w:ilvl w:val="0"/>
          <w:numId w:val="82"/>
        </w:numPr>
        <w:spacing w:after="160" w:line="259" w:lineRule="auto"/>
        <w:contextualSpacing/>
      </w:pPr>
      <w:r w:rsidRPr="00B5325D">
        <w:t>SOPs;</w:t>
      </w:r>
    </w:p>
    <w:p w14:paraId="73236C43" w14:textId="77777777" w:rsidR="00B5325D" w:rsidRPr="00B5325D" w:rsidRDefault="00B5325D" w:rsidP="00CE2360">
      <w:pPr>
        <w:numPr>
          <w:ilvl w:val="0"/>
          <w:numId w:val="82"/>
        </w:numPr>
        <w:spacing w:after="160" w:line="259" w:lineRule="auto"/>
        <w:contextualSpacing/>
      </w:pPr>
      <w:r w:rsidRPr="00B5325D">
        <w:t>Integration guides;</w:t>
      </w:r>
    </w:p>
    <w:p w14:paraId="30FD3D54" w14:textId="77777777" w:rsidR="00B5325D" w:rsidRPr="00B5325D" w:rsidRDefault="00B5325D" w:rsidP="00CE2360">
      <w:pPr>
        <w:numPr>
          <w:ilvl w:val="0"/>
          <w:numId w:val="82"/>
        </w:numPr>
        <w:spacing w:after="160" w:line="259" w:lineRule="auto"/>
        <w:contextualSpacing/>
      </w:pPr>
      <w:r w:rsidRPr="00B5325D">
        <w:t>Testing documentation</w:t>
      </w:r>
    </w:p>
    <w:p w14:paraId="7E268412" w14:textId="77777777" w:rsidR="00B5325D" w:rsidRPr="00B5325D" w:rsidRDefault="00B5325D" w:rsidP="00CE2360">
      <w:pPr>
        <w:numPr>
          <w:ilvl w:val="0"/>
          <w:numId w:val="82"/>
        </w:numPr>
        <w:spacing w:after="160" w:line="259" w:lineRule="auto"/>
      </w:pPr>
      <w:r w:rsidRPr="00B5325D">
        <w:t>Source code</w:t>
      </w:r>
    </w:p>
    <w:p w14:paraId="26A5AE76" w14:textId="77777777" w:rsidR="00B5325D" w:rsidRPr="00B5325D" w:rsidRDefault="00B5325D" w:rsidP="00B5325D">
      <w:pPr>
        <w:rPr>
          <w:b/>
          <w:bCs/>
        </w:rPr>
      </w:pPr>
      <w:r w:rsidRPr="00B5325D">
        <w:rPr>
          <w:b/>
          <w:bCs/>
        </w:rPr>
        <w:t>3.17 Deployment Oversight</w:t>
      </w:r>
    </w:p>
    <w:p w14:paraId="3D22AB86" w14:textId="77777777" w:rsidR="00B5325D" w:rsidRPr="00B5325D" w:rsidRDefault="00B5325D" w:rsidP="00CE2360">
      <w:pPr>
        <w:numPr>
          <w:ilvl w:val="0"/>
          <w:numId w:val="25"/>
        </w:numPr>
        <w:spacing w:after="160" w:line="259" w:lineRule="auto"/>
      </w:pPr>
      <w:r w:rsidRPr="00B5325D">
        <w:t>Provide technical oversight during deployment to test, pre-production and production environments by:</w:t>
      </w:r>
    </w:p>
    <w:p w14:paraId="761B1888" w14:textId="77777777" w:rsidR="00B5325D" w:rsidRPr="00B5325D" w:rsidRDefault="00B5325D" w:rsidP="00CE2360">
      <w:pPr>
        <w:numPr>
          <w:ilvl w:val="0"/>
          <w:numId w:val="83"/>
        </w:numPr>
        <w:spacing w:after="160" w:line="259" w:lineRule="auto"/>
        <w:contextualSpacing/>
      </w:pPr>
      <w:r w:rsidRPr="00B5325D">
        <w:t>Verifying configurations;</w:t>
      </w:r>
    </w:p>
    <w:p w14:paraId="088905FB" w14:textId="77777777" w:rsidR="00B5325D" w:rsidRPr="00B5325D" w:rsidRDefault="00B5325D" w:rsidP="00CE2360">
      <w:pPr>
        <w:numPr>
          <w:ilvl w:val="0"/>
          <w:numId w:val="83"/>
        </w:numPr>
        <w:spacing w:after="160" w:line="259" w:lineRule="auto"/>
        <w:contextualSpacing/>
      </w:pPr>
      <w:r w:rsidRPr="00B5325D">
        <w:t>Advising on cut-over and rollback strategies.</w:t>
      </w:r>
    </w:p>
    <w:p w14:paraId="0BB7294E" w14:textId="77777777" w:rsidR="00B5325D" w:rsidRPr="00B5325D" w:rsidRDefault="00B5325D" w:rsidP="00B5325D">
      <w:pPr>
        <w:rPr>
          <w:b/>
          <w:bCs/>
        </w:rPr>
      </w:pPr>
      <w:r w:rsidRPr="00B5325D">
        <w:rPr>
          <w:b/>
          <w:bCs/>
        </w:rPr>
        <w:t>3.18 Risk Identification and Mitigation</w:t>
      </w:r>
    </w:p>
    <w:p w14:paraId="0CB854E1" w14:textId="77777777" w:rsidR="00B5325D" w:rsidRPr="00B5325D" w:rsidRDefault="00B5325D" w:rsidP="00CE2360">
      <w:pPr>
        <w:numPr>
          <w:ilvl w:val="0"/>
          <w:numId w:val="26"/>
        </w:numPr>
        <w:spacing w:after="160" w:line="259" w:lineRule="auto"/>
      </w:pPr>
      <w:r w:rsidRPr="00B5325D">
        <w:t xml:space="preserve">Support DSISH in identifying, analysing and monitoring technical, operational, governance and financial risks, maintaining an updated </w:t>
      </w:r>
      <w:r w:rsidRPr="00B5325D">
        <w:rPr>
          <w:b/>
          <w:bCs/>
        </w:rPr>
        <w:t>Risk Register</w:t>
      </w:r>
      <w:r w:rsidRPr="00B5325D">
        <w:t xml:space="preserve"> with mitigation measures.</w:t>
      </w:r>
    </w:p>
    <w:p w14:paraId="169CF06A" w14:textId="77777777" w:rsidR="00B5325D" w:rsidRPr="00B5325D" w:rsidRDefault="00B5325D" w:rsidP="00B5325D">
      <w:pPr>
        <w:rPr>
          <w:b/>
          <w:bCs/>
        </w:rPr>
      </w:pPr>
      <w:r w:rsidRPr="00B5325D">
        <w:rPr>
          <w:b/>
          <w:bCs/>
        </w:rPr>
        <w:t>3.19 Performance Monitoring Framework</w:t>
      </w:r>
    </w:p>
    <w:p w14:paraId="1DBFE096" w14:textId="77777777" w:rsidR="00B5325D" w:rsidRPr="00B5325D" w:rsidRDefault="00B5325D" w:rsidP="00CE2360">
      <w:pPr>
        <w:numPr>
          <w:ilvl w:val="0"/>
          <w:numId w:val="27"/>
        </w:numPr>
        <w:spacing w:after="160" w:line="259" w:lineRule="auto"/>
      </w:pPr>
      <w:r w:rsidRPr="00B5325D">
        <w:lastRenderedPageBreak/>
        <w:t>Help develop a Performance Monitoring Framework for IHIS, including:</w:t>
      </w:r>
    </w:p>
    <w:p w14:paraId="6517984E" w14:textId="77777777" w:rsidR="00B5325D" w:rsidRPr="00B5325D" w:rsidRDefault="00B5325D" w:rsidP="00CE2360">
      <w:pPr>
        <w:numPr>
          <w:ilvl w:val="0"/>
          <w:numId w:val="84"/>
        </w:numPr>
        <w:spacing w:after="160" w:line="259" w:lineRule="auto"/>
        <w:contextualSpacing/>
      </w:pPr>
      <w:r w:rsidRPr="00B5325D">
        <w:t>Technical KPIs (API uptime, response times, SHR latency);</w:t>
      </w:r>
    </w:p>
    <w:p w14:paraId="553AE2EB" w14:textId="77777777" w:rsidR="00B5325D" w:rsidRPr="00B5325D" w:rsidRDefault="00B5325D" w:rsidP="00CE2360">
      <w:pPr>
        <w:numPr>
          <w:ilvl w:val="0"/>
          <w:numId w:val="84"/>
        </w:numPr>
        <w:spacing w:after="160" w:line="259" w:lineRule="auto"/>
        <w:contextualSpacing/>
      </w:pPr>
      <w:r w:rsidRPr="00B5325D">
        <w:t>Clinical KPIs;</w:t>
      </w:r>
    </w:p>
    <w:p w14:paraId="4F203181" w14:textId="77777777" w:rsidR="00B5325D" w:rsidRPr="00B5325D" w:rsidRDefault="00B5325D" w:rsidP="00CE2360">
      <w:pPr>
        <w:numPr>
          <w:ilvl w:val="0"/>
          <w:numId w:val="84"/>
        </w:numPr>
        <w:spacing w:after="160" w:line="259" w:lineRule="auto"/>
        <w:contextualSpacing/>
      </w:pPr>
      <w:r w:rsidRPr="00B5325D">
        <w:t>Quality-of-Care indicators.</w:t>
      </w:r>
    </w:p>
    <w:p w14:paraId="2117FD6E" w14:textId="77777777" w:rsidR="00B5325D" w:rsidRPr="00B5325D" w:rsidRDefault="00B5325D" w:rsidP="00B5325D">
      <w:pPr>
        <w:rPr>
          <w:b/>
          <w:bCs/>
        </w:rPr>
      </w:pPr>
      <w:r w:rsidRPr="00B5325D">
        <w:rPr>
          <w:b/>
          <w:bCs/>
        </w:rPr>
        <w:t>3.20 Continuous Improvement Recommendations</w:t>
      </w:r>
    </w:p>
    <w:p w14:paraId="30621717" w14:textId="77777777" w:rsidR="00B5325D" w:rsidRPr="00B5325D" w:rsidRDefault="00B5325D" w:rsidP="00CE2360">
      <w:pPr>
        <w:numPr>
          <w:ilvl w:val="0"/>
          <w:numId w:val="28"/>
        </w:numPr>
        <w:spacing w:after="160" w:line="259" w:lineRule="auto"/>
      </w:pPr>
      <w:r w:rsidRPr="00B5325D">
        <w:t>On a quarterly and annual basis, prepare recommendations for continuous improvement of IHIS architecture, processes, standards, capacities and governance.</w:t>
      </w:r>
    </w:p>
    <w:p w14:paraId="3E1C94B0" w14:textId="77777777" w:rsidR="00B5325D" w:rsidRPr="00B5325D" w:rsidRDefault="00B5325D" w:rsidP="00B5325D">
      <w:pPr>
        <w:rPr>
          <w:b/>
          <w:bCs/>
        </w:rPr>
      </w:pPr>
      <w:r w:rsidRPr="00B5325D">
        <w:rPr>
          <w:b/>
          <w:bCs/>
        </w:rPr>
        <w:t>4. OVERSIGHT, QA/QC, SLA MONITORING, CHANGE REQUESTS, ACCEPTANCE</w:t>
      </w:r>
    </w:p>
    <w:p w14:paraId="6980FAC7" w14:textId="77777777" w:rsidR="00B5325D" w:rsidRPr="00B5325D" w:rsidRDefault="00B5325D" w:rsidP="00B5325D">
      <w:pPr>
        <w:rPr>
          <w:b/>
          <w:bCs/>
        </w:rPr>
      </w:pPr>
      <w:r w:rsidRPr="00B5325D">
        <w:rPr>
          <w:b/>
          <w:bCs/>
        </w:rPr>
        <w:t>4.1 Technical Oversight Model</w:t>
      </w:r>
    </w:p>
    <w:p w14:paraId="14219224" w14:textId="77777777" w:rsidR="00B5325D" w:rsidRPr="00B5325D" w:rsidRDefault="00B5325D" w:rsidP="00CE2360">
      <w:pPr>
        <w:numPr>
          <w:ilvl w:val="0"/>
          <w:numId w:val="29"/>
        </w:numPr>
        <w:spacing w:after="160" w:line="259" w:lineRule="auto"/>
      </w:pPr>
      <w:r w:rsidRPr="00B5325D">
        <w:t>The SDHP provides independent technical oversight for all IHIS components, including:</w:t>
      </w:r>
    </w:p>
    <w:p w14:paraId="66F02D7E" w14:textId="77777777" w:rsidR="00B5325D" w:rsidRPr="00B5325D" w:rsidRDefault="00B5325D" w:rsidP="00CE2360">
      <w:pPr>
        <w:numPr>
          <w:ilvl w:val="0"/>
          <w:numId w:val="85"/>
        </w:numPr>
        <w:spacing w:after="160" w:line="259" w:lineRule="auto"/>
        <w:contextualSpacing/>
      </w:pPr>
      <w:r w:rsidRPr="00B5325D">
        <w:t>Oversight of vendor implementations and specification compliance;</w:t>
      </w:r>
    </w:p>
    <w:p w14:paraId="270E2061" w14:textId="77777777" w:rsidR="00B5325D" w:rsidRPr="00B5325D" w:rsidRDefault="00B5325D" w:rsidP="00CE2360">
      <w:pPr>
        <w:numPr>
          <w:ilvl w:val="0"/>
          <w:numId w:val="85"/>
        </w:numPr>
        <w:spacing w:after="160" w:line="259" w:lineRule="auto"/>
        <w:contextualSpacing/>
      </w:pPr>
      <w:r w:rsidRPr="00B5325D">
        <w:t>Verification of proposed and implemented architecture;</w:t>
      </w:r>
    </w:p>
    <w:p w14:paraId="63FCE867" w14:textId="77777777" w:rsidR="00B5325D" w:rsidRPr="00B5325D" w:rsidRDefault="00B5325D" w:rsidP="00CE2360">
      <w:pPr>
        <w:numPr>
          <w:ilvl w:val="0"/>
          <w:numId w:val="85"/>
        </w:numPr>
        <w:spacing w:after="160" w:line="259" w:lineRule="auto"/>
        <w:contextualSpacing/>
      </w:pPr>
      <w:r w:rsidRPr="00B5325D">
        <w:t>Detailed inspection of APIs, databases and integrations;</w:t>
      </w:r>
    </w:p>
    <w:p w14:paraId="786C95F9" w14:textId="77777777" w:rsidR="00B5325D" w:rsidRPr="00B5325D" w:rsidRDefault="00B5325D" w:rsidP="00CE2360">
      <w:pPr>
        <w:numPr>
          <w:ilvl w:val="0"/>
          <w:numId w:val="85"/>
        </w:numPr>
        <w:spacing w:after="160" w:line="259" w:lineRule="auto"/>
        <w:contextualSpacing/>
      </w:pPr>
      <w:r w:rsidRPr="00B5325D">
        <w:t>Monitoring of milestones, risk register and project plan;</w:t>
      </w:r>
    </w:p>
    <w:p w14:paraId="78C27A7F" w14:textId="77777777" w:rsidR="00B5325D" w:rsidRPr="00B5325D" w:rsidRDefault="00B5325D" w:rsidP="00CE2360">
      <w:pPr>
        <w:numPr>
          <w:ilvl w:val="0"/>
          <w:numId w:val="85"/>
        </w:numPr>
        <w:spacing w:after="160" w:line="259" w:lineRule="auto"/>
        <w:contextualSpacing/>
      </w:pPr>
      <w:r w:rsidRPr="00B5325D">
        <w:t>Monthly and quarterly reporting to PIU, DSISH and MDPA.</w:t>
      </w:r>
    </w:p>
    <w:p w14:paraId="57E262E1" w14:textId="77777777" w:rsidR="00B5325D" w:rsidRPr="00B5325D" w:rsidRDefault="00B5325D" w:rsidP="00CE2360">
      <w:pPr>
        <w:numPr>
          <w:ilvl w:val="0"/>
          <w:numId w:val="29"/>
        </w:numPr>
        <w:spacing w:after="160" w:line="259" w:lineRule="auto"/>
      </w:pPr>
      <w:r w:rsidRPr="00B5325D">
        <w:t xml:space="preserve">The SDHP does </w:t>
      </w:r>
      <w:r w:rsidRPr="00B5325D">
        <w:rPr>
          <w:b/>
          <w:bCs/>
        </w:rPr>
        <w:t>not</w:t>
      </w:r>
      <w:r w:rsidRPr="00B5325D">
        <w:t xml:space="preserve"> make procurement decisions and does </w:t>
      </w:r>
      <w:r w:rsidRPr="00B5325D">
        <w:rPr>
          <w:b/>
          <w:bCs/>
        </w:rPr>
        <w:t>not</w:t>
      </w:r>
      <w:r w:rsidRPr="00B5325D">
        <w:t xml:space="preserve"> replace the role of PIU; it provides evidence-based technical support.</w:t>
      </w:r>
    </w:p>
    <w:p w14:paraId="22F83E9C" w14:textId="77777777" w:rsidR="00B5325D" w:rsidRPr="00B5325D" w:rsidRDefault="00B5325D" w:rsidP="00B5325D">
      <w:pPr>
        <w:rPr>
          <w:b/>
          <w:bCs/>
        </w:rPr>
      </w:pPr>
      <w:r w:rsidRPr="00B5325D">
        <w:rPr>
          <w:b/>
          <w:bCs/>
        </w:rPr>
        <w:t>4.2 Quality Assurance (QA) Framework</w:t>
      </w:r>
    </w:p>
    <w:p w14:paraId="2886BD97" w14:textId="77777777" w:rsidR="00B5325D" w:rsidRPr="00B5325D" w:rsidRDefault="00B5325D" w:rsidP="00CE2360">
      <w:pPr>
        <w:numPr>
          <w:ilvl w:val="0"/>
          <w:numId w:val="30"/>
        </w:numPr>
        <w:spacing w:after="160" w:line="259" w:lineRule="auto"/>
      </w:pPr>
      <w:r w:rsidRPr="00B5325D">
        <w:t>QA focuses on processes and methodologies for verifying quality throughout the lifecycle. The SDHP will:</w:t>
      </w:r>
    </w:p>
    <w:p w14:paraId="5424184E" w14:textId="77777777" w:rsidR="00B5325D" w:rsidRPr="00B5325D" w:rsidRDefault="00B5325D" w:rsidP="00CE2360">
      <w:pPr>
        <w:numPr>
          <w:ilvl w:val="0"/>
          <w:numId w:val="86"/>
        </w:numPr>
        <w:spacing w:after="160" w:line="259" w:lineRule="auto"/>
        <w:contextualSpacing/>
      </w:pPr>
      <w:r w:rsidRPr="00B5325D">
        <w:t>Establish QA standards for all implementations;</w:t>
      </w:r>
    </w:p>
    <w:p w14:paraId="07C548FF" w14:textId="77777777" w:rsidR="00B5325D" w:rsidRPr="00B5325D" w:rsidRDefault="00B5325D" w:rsidP="00CE2360">
      <w:pPr>
        <w:numPr>
          <w:ilvl w:val="0"/>
          <w:numId w:val="86"/>
        </w:numPr>
        <w:spacing w:after="160" w:line="259" w:lineRule="auto"/>
        <w:contextualSpacing/>
      </w:pPr>
      <w:r w:rsidRPr="00B5325D">
        <w:t>Define test cases for functionality, integration, security and stability;</w:t>
      </w:r>
    </w:p>
    <w:p w14:paraId="368E1E40" w14:textId="77777777" w:rsidR="00B5325D" w:rsidRPr="00B5325D" w:rsidRDefault="00B5325D" w:rsidP="00CE2360">
      <w:pPr>
        <w:numPr>
          <w:ilvl w:val="0"/>
          <w:numId w:val="86"/>
        </w:numPr>
        <w:spacing w:after="160" w:line="259" w:lineRule="auto"/>
        <w:contextualSpacing/>
      </w:pPr>
      <w:r w:rsidRPr="00B5325D">
        <w:t>Verify data models and FHIR resources;</w:t>
      </w:r>
    </w:p>
    <w:p w14:paraId="052B5F43" w14:textId="77777777" w:rsidR="00B5325D" w:rsidRPr="00B5325D" w:rsidRDefault="00B5325D" w:rsidP="00CE2360">
      <w:pPr>
        <w:numPr>
          <w:ilvl w:val="0"/>
          <w:numId w:val="86"/>
        </w:numPr>
        <w:spacing w:after="160" w:line="259" w:lineRule="auto"/>
        <w:contextualSpacing/>
      </w:pPr>
      <w:r w:rsidRPr="00B5325D">
        <w:t>Use FHIR TestScript and IHE Gazelle tools;</w:t>
      </w:r>
    </w:p>
    <w:p w14:paraId="6BF230EE" w14:textId="77777777" w:rsidR="00B5325D" w:rsidRPr="00B5325D" w:rsidRDefault="00B5325D" w:rsidP="00CE2360">
      <w:pPr>
        <w:numPr>
          <w:ilvl w:val="0"/>
          <w:numId w:val="86"/>
        </w:numPr>
        <w:spacing w:after="160" w:line="259" w:lineRule="auto"/>
        <w:contextualSpacing/>
      </w:pPr>
      <w:r w:rsidRPr="00B5325D">
        <w:t>Document and audit testing processes;</w:t>
      </w:r>
    </w:p>
    <w:p w14:paraId="454BFF04" w14:textId="77777777" w:rsidR="00B5325D" w:rsidRPr="00B5325D" w:rsidRDefault="00B5325D" w:rsidP="00CE2360">
      <w:pPr>
        <w:numPr>
          <w:ilvl w:val="0"/>
          <w:numId w:val="86"/>
        </w:numPr>
        <w:spacing w:after="160" w:line="259" w:lineRule="auto"/>
        <w:contextualSpacing/>
      </w:pPr>
      <w:r w:rsidRPr="00B5325D">
        <w:t>Involve end-users in UAT.</w:t>
      </w:r>
    </w:p>
    <w:p w14:paraId="0F830D4E" w14:textId="77777777" w:rsidR="00B5325D" w:rsidRPr="00B5325D" w:rsidRDefault="00B5325D" w:rsidP="00B5325D">
      <w:pPr>
        <w:rPr>
          <w:b/>
          <w:bCs/>
        </w:rPr>
      </w:pPr>
      <w:r w:rsidRPr="00B5325D">
        <w:rPr>
          <w:b/>
          <w:bCs/>
        </w:rPr>
        <w:t>4.3 Quality Control (QC) of Vendor Deliverables</w:t>
      </w:r>
    </w:p>
    <w:p w14:paraId="31A21C70" w14:textId="77777777" w:rsidR="00B5325D" w:rsidRPr="00B5325D" w:rsidRDefault="00B5325D" w:rsidP="00CE2360">
      <w:pPr>
        <w:numPr>
          <w:ilvl w:val="0"/>
          <w:numId w:val="31"/>
        </w:numPr>
        <w:spacing w:after="160" w:line="259" w:lineRule="auto"/>
      </w:pPr>
      <w:r w:rsidRPr="00B5325D">
        <w:t>QC focuses on inspection and validation of vendor outputs, including:</w:t>
      </w:r>
    </w:p>
    <w:p w14:paraId="3329C9E2" w14:textId="77777777" w:rsidR="00B5325D" w:rsidRPr="00B5325D" w:rsidRDefault="00B5325D" w:rsidP="00CE2360">
      <w:pPr>
        <w:numPr>
          <w:ilvl w:val="0"/>
          <w:numId w:val="125"/>
        </w:numPr>
        <w:spacing w:after="160" w:line="259" w:lineRule="auto"/>
        <w:ind w:left="1800"/>
        <w:contextualSpacing/>
      </w:pPr>
      <w:r w:rsidRPr="00B5325D">
        <w:t>Review of every technical deliverable before PIU acceptance;</w:t>
      </w:r>
    </w:p>
    <w:p w14:paraId="6532AABB" w14:textId="77777777" w:rsidR="00B5325D" w:rsidRPr="00B5325D" w:rsidRDefault="00B5325D" w:rsidP="00CE2360">
      <w:pPr>
        <w:numPr>
          <w:ilvl w:val="0"/>
          <w:numId w:val="125"/>
        </w:numPr>
        <w:spacing w:after="160" w:line="259" w:lineRule="auto"/>
        <w:ind w:left="1800"/>
        <w:contextualSpacing/>
      </w:pPr>
      <w:r w:rsidRPr="00B5325D">
        <w:t>Testing of APIs, integrations and data models;</w:t>
      </w:r>
    </w:p>
    <w:p w14:paraId="63CCBAA6" w14:textId="77777777" w:rsidR="00B5325D" w:rsidRPr="00B5325D" w:rsidRDefault="00B5325D" w:rsidP="00CE2360">
      <w:pPr>
        <w:numPr>
          <w:ilvl w:val="0"/>
          <w:numId w:val="125"/>
        </w:numPr>
        <w:spacing w:after="160" w:line="259" w:lineRule="auto"/>
        <w:ind w:left="1800"/>
        <w:contextualSpacing/>
      </w:pPr>
      <w:r w:rsidRPr="00B5325D">
        <w:t>Verification of vendor test reports;</w:t>
      </w:r>
    </w:p>
    <w:p w14:paraId="40214FAA" w14:textId="77777777" w:rsidR="00B5325D" w:rsidRPr="00B5325D" w:rsidRDefault="00B5325D" w:rsidP="00CE2360">
      <w:pPr>
        <w:numPr>
          <w:ilvl w:val="0"/>
          <w:numId w:val="125"/>
        </w:numPr>
        <w:spacing w:after="160" w:line="259" w:lineRule="auto"/>
        <w:ind w:left="1800"/>
        <w:contextualSpacing/>
      </w:pPr>
      <w:r w:rsidRPr="00B5325D">
        <w:t>Review of technical documentation and manuals;</w:t>
      </w:r>
    </w:p>
    <w:p w14:paraId="58FA1309" w14:textId="77777777" w:rsidR="00B5325D" w:rsidRPr="00B5325D" w:rsidRDefault="00B5325D" w:rsidP="00CE2360">
      <w:pPr>
        <w:numPr>
          <w:ilvl w:val="0"/>
          <w:numId w:val="125"/>
        </w:numPr>
        <w:spacing w:line="259" w:lineRule="auto"/>
        <w:ind w:left="1800"/>
      </w:pPr>
      <w:r w:rsidRPr="00B5325D">
        <w:t>Requesting correction of technical or functional deviations.</w:t>
      </w:r>
    </w:p>
    <w:p w14:paraId="0CB917CA" w14:textId="77777777" w:rsidR="00B5325D" w:rsidRPr="00B5325D" w:rsidRDefault="00B5325D" w:rsidP="00CE2360">
      <w:pPr>
        <w:numPr>
          <w:ilvl w:val="0"/>
          <w:numId w:val="126"/>
        </w:numPr>
        <w:spacing w:after="160" w:line="259" w:lineRule="auto"/>
        <w:ind w:left="1800"/>
      </w:pPr>
      <w:r w:rsidRPr="00B5325D">
        <w:t>SDHP issues a recommendation for technical acceptance/rejection; final decision rests with PIU/MoH.</w:t>
      </w:r>
    </w:p>
    <w:p w14:paraId="33D259DB" w14:textId="77777777" w:rsidR="00B5325D" w:rsidRPr="00B5325D" w:rsidRDefault="00B5325D" w:rsidP="00B5325D">
      <w:pPr>
        <w:rPr>
          <w:b/>
          <w:bCs/>
        </w:rPr>
      </w:pPr>
      <w:r w:rsidRPr="00B5325D">
        <w:rPr>
          <w:b/>
          <w:bCs/>
        </w:rPr>
        <w:t>4.4 SLA Monitoring</w:t>
      </w:r>
    </w:p>
    <w:p w14:paraId="27CDE640" w14:textId="77777777" w:rsidR="00B5325D" w:rsidRPr="00B5325D" w:rsidRDefault="00B5325D" w:rsidP="00CE2360">
      <w:pPr>
        <w:numPr>
          <w:ilvl w:val="0"/>
          <w:numId w:val="32"/>
        </w:numPr>
        <w:spacing w:line="259" w:lineRule="auto"/>
      </w:pPr>
      <w:r w:rsidRPr="00B5325D">
        <w:t>SLA monitoring will include:</w:t>
      </w:r>
    </w:p>
    <w:p w14:paraId="2106E7DD" w14:textId="77777777" w:rsidR="00B5325D" w:rsidRPr="00B5325D" w:rsidRDefault="00B5325D" w:rsidP="00CE2360">
      <w:pPr>
        <w:numPr>
          <w:ilvl w:val="0"/>
          <w:numId w:val="127"/>
        </w:numPr>
        <w:spacing w:after="160" w:line="259" w:lineRule="auto"/>
        <w:contextualSpacing/>
      </w:pPr>
      <w:r w:rsidRPr="00B5325D">
        <w:t>Uptime and reliability of IL, SHR and registries;</w:t>
      </w:r>
    </w:p>
    <w:p w14:paraId="20F9CF1F" w14:textId="77777777" w:rsidR="00B5325D" w:rsidRPr="00B5325D" w:rsidRDefault="00B5325D" w:rsidP="00CE2360">
      <w:pPr>
        <w:numPr>
          <w:ilvl w:val="0"/>
          <w:numId w:val="127"/>
        </w:numPr>
        <w:spacing w:after="160" w:line="259" w:lineRule="auto"/>
        <w:contextualSpacing/>
      </w:pPr>
      <w:r w:rsidRPr="00B5325D">
        <w:lastRenderedPageBreak/>
        <w:t>API and database response times;</w:t>
      </w:r>
    </w:p>
    <w:p w14:paraId="2A8B96D4" w14:textId="77777777" w:rsidR="00B5325D" w:rsidRPr="00B5325D" w:rsidRDefault="00B5325D" w:rsidP="00CE2360">
      <w:pPr>
        <w:numPr>
          <w:ilvl w:val="0"/>
          <w:numId w:val="127"/>
        </w:numPr>
        <w:spacing w:after="160" w:line="259" w:lineRule="auto"/>
        <w:contextualSpacing/>
      </w:pPr>
      <w:r w:rsidRPr="00B5325D">
        <w:t>Tracking incidents and response times;</w:t>
      </w:r>
    </w:p>
    <w:p w14:paraId="48261031" w14:textId="77777777" w:rsidR="00B5325D" w:rsidRPr="00B5325D" w:rsidRDefault="00B5325D" w:rsidP="00CE2360">
      <w:pPr>
        <w:numPr>
          <w:ilvl w:val="0"/>
          <w:numId w:val="127"/>
        </w:numPr>
        <w:spacing w:after="160" w:line="259" w:lineRule="auto"/>
        <w:contextualSpacing/>
      </w:pPr>
      <w:r w:rsidRPr="00B5325D">
        <w:t>Auditing vendor KPIs;</w:t>
      </w:r>
    </w:p>
    <w:p w14:paraId="77480515" w14:textId="77777777" w:rsidR="00B5325D" w:rsidRPr="00B5325D" w:rsidRDefault="00B5325D" w:rsidP="00CE2360">
      <w:pPr>
        <w:numPr>
          <w:ilvl w:val="0"/>
          <w:numId w:val="127"/>
        </w:numPr>
        <w:spacing w:line="259" w:lineRule="auto"/>
      </w:pPr>
      <w:r w:rsidRPr="00B5325D">
        <w:t>Reviewing monthly measurements and corrective actions.</w:t>
      </w:r>
    </w:p>
    <w:p w14:paraId="20F7FC4E" w14:textId="77777777" w:rsidR="00B5325D" w:rsidRPr="00B5325D" w:rsidRDefault="00B5325D" w:rsidP="00CE2360">
      <w:pPr>
        <w:numPr>
          <w:ilvl w:val="0"/>
          <w:numId w:val="127"/>
        </w:numPr>
        <w:spacing w:after="160" w:line="259" w:lineRule="auto"/>
      </w:pPr>
      <w:r w:rsidRPr="00B5325D">
        <w:t xml:space="preserve">SDHP will produce </w:t>
      </w:r>
      <w:r w:rsidRPr="00B5325D">
        <w:rPr>
          <w:b/>
          <w:bCs/>
        </w:rPr>
        <w:t>monthly SLA reports</w:t>
      </w:r>
      <w:r w:rsidRPr="00B5325D">
        <w:t xml:space="preserve"> and highlight any breaches for PIU/DSISH/MDPA action.</w:t>
      </w:r>
    </w:p>
    <w:p w14:paraId="6496F19C" w14:textId="77777777" w:rsidR="00B5325D" w:rsidRPr="00B5325D" w:rsidRDefault="00B5325D" w:rsidP="00B5325D">
      <w:pPr>
        <w:rPr>
          <w:b/>
          <w:bCs/>
        </w:rPr>
      </w:pPr>
      <w:r w:rsidRPr="00B5325D">
        <w:rPr>
          <w:b/>
          <w:bCs/>
        </w:rPr>
        <w:t>4.5 Change Request (CR) Management Process</w:t>
      </w:r>
    </w:p>
    <w:p w14:paraId="0DBFCD22" w14:textId="77777777" w:rsidR="00B5325D" w:rsidRPr="00B5325D" w:rsidRDefault="00B5325D" w:rsidP="00CE2360">
      <w:pPr>
        <w:numPr>
          <w:ilvl w:val="0"/>
          <w:numId w:val="33"/>
        </w:numPr>
        <w:spacing w:after="160" w:line="259" w:lineRule="auto"/>
      </w:pPr>
      <w:r w:rsidRPr="00B5325D">
        <w:t>The standardized CR process includes:</w:t>
      </w:r>
    </w:p>
    <w:p w14:paraId="122D5491" w14:textId="77777777" w:rsidR="00B5325D" w:rsidRPr="00B5325D" w:rsidRDefault="00B5325D" w:rsidP="00CE2360">
      <w:pPr>
        <w:numPr>
          <w:ilvl w:val="1"/>
          <w:numId w:val="87"/>
        </w:numPr>
        <w:spacing w:after="160" w:line="259" w:lineRule="auto"/>
        <w:contextualSpacing/>
      </w:pPr>
      <w:r w:rsidRPr="00B5325D">
        <w:t>Submission of CR by DSISH/MDPA, vendors or PIU (CR Form).</w:t>
      </w:r>
    </w:p>
    <w:p w14:paraId="7011EF87" w14:textId="77777777" w:rsidR="00B5325D" w:rsidRPr="00B5325D" w:rsidRDefault="00B5325D" w:rsidP="00CE2360">
      <w:pPr>
        <w:numPr>
          <w:ilvl w:val="1"/>
          <w:numId w:val="87"/>
        </w:numPr>
        <w:spacing w:after="160" w:line="259" w:lineRule="auto"/>
        <w:contextualSpacing/>
      </w:pPr>
      <w:r w:rsidRPr="00B5325D">
        <w:t>Technical, process,  financial and operational impact analysis by SDHP.</w:t>
      </w:r>
    </w:p>
    <w:p w14:paraId="7B1EF85D" w14:textId="77777777" w:rsidR="00B5325D" w:rsidRPr="00B5325D" w:rsidRDefault="00B5325D" w:rsidP="00CE2360">
      <w:pPr>
        <w:numPr>
          <w:ilvl w:val="1"/>
          <w:numId w:val="87"/>
        </w:numPr>
        <w:spacing w:after="160" w:line="259" w:lineRule="auto"/>
        <w:contextualSpacing/>
      </w:pPr>
      <w:r w:rsidRPr="00B5325D">
        <w:t>Technical and functional recommendation to PIU.</w:t>
      </w:r>
    </w:p>
    <w:p w14:paraId="6E2AFE65" w14:textId="77777777" w:rsidR="00B5325D" w:rsidRPr="00B5325D" w:rsidRDefault="00B5325D" w:rsidP="00CE2360">
      <w:pPr>
        <w:numPr>
          <w:ilvl w:val="1"/>
          <w:numId w:val="87"/>
        </w:numPr>
        <w:spacing w:after="160" w:line="259" w:lineRule="auto"/>
        <w:contextualSpacing/>
      </w:pPr>
      <w:r w:rsidRPr="00B5325D">
        <w:t>Decision by PIU/MoH.</w:t>
      </w:r>
    </w:p>
    <w:p w14:paraId="026E5737" w14:textId="77777777" w:rsidR="00B5325D" w:rsidRPr="00B5325D" w:rsidRDefault="00B5325D" w:rsidP="00CE2360">
      <w:pPr>
        <w:numPr>
          <w:ilvl w:val="1"/>
          <w:numId w:val="87"/>
        </w:numPr>
        <w:spacing w:after="160" w:line="259" w:lineRule="auto"/>
        <w:contextualSpacing/>
      </w:pPr>
      <w:r w:rsidRPr="00B5325D">
        <w:t>Implementation and testing by vendors.</w:t>
      </w:r>
    </w:p>
    <w:p w14:paraId="5E148975" w14:textId="77777777" w:rsidR="00B5325D" w:rsidRPr="00B5325D" w:rsidRDefault="00B5325D" w:rsidP="00CE2360">
      <w:pPr>
        <w:numPr>
          <w:ilvl w:val="1"/>
          <w:numId w:val="87"/>
        </w:numPr>
        <w:spacing w:after="160" w:line="259" w:lineRule="auto"/>
        <w:contextualSpacing/>
      </w:pPr>
      <w:r w:rsidRPr="00B5325D">
        <w:t>Documentation and closure of CR, including documentation updates.</w:t>
      </w:r>
    </w:p>
    <w:p w14:paraId="54EA3B5A" w14:textId="77777777" w:rsidR="00B5325D" w:rsidRPr="00B5325D" w:rsidRDefault="00B5325D" w:rsidP="00CE2360">
      <w:pPr>
        <w:numPr>
          <w:ilvl w:val="0"/>
          <w:numId w:val="33"/>
        </w:numPr>
        <w:spacing w:after="160" w:line="259" w:lineRule="auto"/>
      </w:pPr>
      <w:r w:rsidRPr="00B5325D">
        <w:t>This ensures controlled, justified and documented changes, aligned with World Bank requirements and best practice.</w:t>
      </w:r>
    </w:p>
    <w:p w14:paraId="38F3C11D" w14:textId="77777777" w:rsidR="00B5325D" w:rsidRPr="00B5325D" w:rsidRDefault="00B5325D" w:rsidP="00B5325D">
      <w:pPr>
        <w:rPr>
          <w:b/>
          <w:bCs/>
        </w:rPr>
      </w:pPr>
      <w:r w:rsidRPr="00B5325D">
        <w:rPr>
          <w:b/>
          <w:bCs/>
        </w:rPr>
        <w:t>4.6 Acceptance Procedures and Templates</w:t>
      </w:r>
    </w:p>
    <w:p w14:paraId="7A445212" w14:textId="77777777" w:rsidR="00B5325D" w:rsidRPr="00B5325D" w:rsidRDefault="00B5325D" w:rsidP="00CE2360">
      <w:pPr>
        <w:numPr>
          <w:ilvl w:val="0"/>
          <w:numId w:val="34"/>
        </w:numPr>
        <w:spacing w:after="160" w:line="259" w:lineRule="auto"/>
      </w:pPr>
      <w:r w:rsidRPr="00B5325D">
        <w:t>Technical acceptance requires:</w:t>
      </w:r>
    </w:p>
    <w:p w14:paraId="2A0D62E5" w14:textId="77777777" w:rsidR="00B5325D" w:rsidRPr="00B5325D" w:rsidRDefault="00B5325D" w:rsidP="00CE2360">
      <w:pPr>
        <w:numPr>
          <w:ilvl w:val="1"/>
          <w:numId w:val="88"/>
        </w:numPr>
        <w:spacing w:after="160" w:line="259" w:lineRule="auto"/>
        <w:contextualSpacing/>
      </w:pPr>
      <w:r w:rsidRPr="00B5325D">
        <w:t>Successful functional testing;</w:t>
      </w:r>
    </w:p>
    <w:p w14:paraId="5E97A376" w14:textId="77777777" w:rsidR="00B5325D" w:rsidRPr="00B5325D" w:rsidRDefault="00B5325D" w:rsidP="00CE2360">
      <w:pPr>
        <w:numPr>
          <w:ilvl w:val="1"/>
          <w:numId w:val="88"/>
        </w:numPr>
        <w:spacing w:after="160" w:line="259" w:lineRule="auto"/>
        <w:contextualSpacing/>
      </w:pPr>
      <w:r w:rsidRPr="00B5325D">
        <w:t>Successful cross-system integration testing;</w:t>
      </w:r>
    </w:p>
    <w:p w14:paraId="7A66CF83" w14:textId="77777777" w:rsidR="00B5325D" w:rsidRPr="00B5325D" w:rsidRDefault="00B5325D" w:rsidP="00CE2360">
      <w:pPr>
        <w:numPr>
          <w:ilvl w:val="1"/>
          <w:numId w:val="88"/>
        </w:numPr>
        <w:spacing w:after="160" w:line="259" w:lineRule="auto"/>
        <w:contextualSpacing/>
      </w:pPr>
      <w:r w:rsidRPr="00B5325D">
        <w:t>Security and penetration testing;</w:t>
      </w:r>
    </w:p>
    <w:p w14:paraId="5533D923" w14:textId="77777777" w:rsidR="00B5325D" w:rsidRPr="00B5325D" w:rsidRDefault="00B5325D" w:rsidP="00CE2360">
      <w:pPr>
        <w:numPr>
          <w:ilvl w:val="1"/>
          <w:numId w:val="88"/>
        </w:numPr>
        <w:spacing w:after="160" w:line="259" w:lineRule="auto"/>
        <w:contextualSpacing/>
      </w:pPr>
      <w:r w:rsidRPr="00B5325D">
        <w:t>Performance testing (load and stress);</w:t>
      </w:r>
    </w:p>
    <w:p w14:paraId="411DF9FE" w14:textId="77777777" w:rsidR="00B5325D" w:rsidRPr="00B5325D" w:rsidRDefault="00B5325D" w:rsidP="00CE2360">
      <w:pPr>
        <w:numPr>
          <w:ilvl w:val="1"/>
          <w:numId w:val="88"/>
        </w:numPr>
        <w:spacing w:after="160" w:line="259" w:lineRule="auto"/>
        <w:contextualSpacing/>
      </w:pPr>
      <w:r w:rsidRPr="00B5325D">
        <w:t>Complete technical and user documentation;</w:t>
      </w:r>
    </w:p>
    <w:p w14:paraId="360C5CCA" w14:textId="77777777" w:rsidR="00B5325D" w:rsidRPr="00B5325D" w:rsidRDefault="00B5325D" w:rsidP="00CE2360">
      <w:pPr>
        <w:numPr>
          <w:ilvl w:val="1"/>
          <w:numId w:val="88"/>
        </w:numPr>
        <w:spacing w:after="160" w:line="259" w:lineRule="auto"/>
        <w:contextualSpacing/>
      </w:pPr>
      <w:r w:rsidRPr="00B5325D">
        <w:t>Compliance with FHIR/IHE standards and Blueprint.</w:t>
      </w:r>
    </w:p>
    <w:p w14:paraId="13509138" w14:textId="77777777" w:rsidR="00B5325D" w:rsidRPr="00B5325D" w:rsidRDefault="00B5325D" w:rsidP="00CE2360">
      <w:pPr>
        <w:numPr>
          <w:ilvl w:val="0"/>
          <w:numId w:val="34"/>
        </w:numPr>
        <w:spacing w:after="160" w:line="259" w:lineRule="auto"/>
      </w:pPr>
      <w:r w:rsidRPr="00B5325D">
        <w:t>The SDHP will prepare templates for:</w:t>
      </w:r>
    </w:p>
    <w:p w14:paraId="14DFD109" w14:textId="77777777" w:rsidR="00B5325D" w:rsidRPr="00B5325D" w:rsidRDefault="00B5325D" w:rsidP="00CE2360">
      <w:pPr>
        <w:numPr>
          <w:ilvl w:val="1"/>
          <w:numId w:val="34"/>
        </w:numPr>
        <w:spacing w:after="160" w:line="259" w:lineRule="auto"/>
      </w:pPr>
      <w:r w:rsidRPr="00B5325D">
        <w:t>Technical Acceptance Form;</w:t>
      </w:r>
    </w:p>
    <w:p w14:paraId="696308E1" w14:textId="77777777" w:rsidR="00B5325D" w:rsidRPr="00B5325D" w:rsidRDefault="00B5325D" w:rsidP="00CE2360">
      <w:pPr>
        <w:numPr>
          <w:ilvl w:val="1"/>
          <w:numId w:val="34"/>
        </w:numPr>
        <w:spacing w:after="160" w:line="259" w:lineRule="auto"/>
        <w:contextualSpacing/>
      </w:pPr>
      <w:r w:rsidRPr="00B5325D">
        <w:t>UAT Checklist;</w:t>
      </w:r>
    </w:p>
    <w:p w14:paraId="17588BF0" w14:textId="77777777" w:rsidR="00B5325D" w:rsidRPr="00B5325D" w:rsidRDefault="00B5325D" w:rsidP="00CE2360">
      <w:pPr>
        <w:numPr>
          <w:ilvl w:val="1"/>
          <w:numId w:val="34"/>
        </w:numPr>
        <w:spacing w:after="160" w:line="259" w:lineRule="auto"/>
        <w:contextualSpacing/>
      </w:pPr>
      <w:r w:rsidRPr="00B5325D">
        <w:t>API Integration Test Report;</w:t>
      </w:r>
    </w:p>
    <w:p w14:paraId="3AFD34C1" w14:textId="77777777" w:rsidR="00B5325D" w:rsidRPr="00B5325D" w:rsidRDefault="00B5325D" w:rsidP="00CE2360">
      <w:pPr>
        <w:numPr>
          <w:ilvl w:val="1"/>
          <w:numId w:val="34"/>
        </w:numPr>
        <w:spacing w:after="160" w:line="259" w:lineRule="auto"/>
        <w:contextualSpacing/>
      </w:pPr>
      <w:r w:rsidRPr="00B5325D">
        <w:t>Security &amp; Compliance Validation Form.</w:t>
      </w:r>
    </w:p>
    <w:p w14:paraId="1EDD9D4B" w14:textId="77777777" w:rsidR="00B5325D" w:rsidRPr="00B5325D" w:rsidRDefault="00B5325D" w:rsidP="00CE2360">
      <w:pPr>
        <w:numPr>
          <w:ilvl w:val="0"/>
          <w:numId w:val="34"/>
        </w:numPr>
        <w:spacing w:after="160" w:line="259" w:lineRule="auto"/>
      </w:pPr>
      <w:r w:rsidRPr="00B5325D">
        <w:t>PIU grants final acceptance following SDHP recommendation and DSISH/MDPA confirmation.</w:t>
      </w:r>
    </w:p>
    <w:p w14:paraId="36E7FD2B" w14:textId="77777777" w:rsidR="00B5325D" w:rsidRPr="00B5325D" w:rsidRDefault="00B5325D" w:rsidP="00B5325D">
      <w:pPr>
        <w:rPr>
          <w:b/>
          <w:bCs/>
        </w:rPr>
      </w:pPr>
      <w:r w:rsidRPr="00B5325D">
        <w:rPr>
          <w:b/>
          <w:bCs/>
        </w:rPr>
        <w:t>5. TEAM COMPOSITION, QUALIFICATIONS, WB COMPLIANCE</w:t>
      </w:r>
    </w:p>
    <w:p w14:paraId="7CE839ED" w14:textId="77777777" w:rsidR="00B5325D" w:rsidRPr="00B5325D" w:rsidRDefault="00B5325D" w:rsidP="00B5325D">
      <w:pPr>
        <w:rPr>
          <w:b/>
          <w:bCs/>
        </w:rPr>
      </w:pPr>
      <w:r w:rsidRPr="00B5325D">
        <w:rPr>
          <w:b/>
          <w:bCs/>
        </w:rPr>
        <w:t>5.1 Required Team Composition</w:t>
      </w:r>
    </w:p>
    <w:p w14:paraId="74033B18" w14:textId="77777777" w:rsidR="00B5325D" w:rsidRPr="00B5325D" w:rsidRDefault="00B5325D" w:rsidP="00CE2360">
      <w:pPr>
        <w:numPr>
          <w:ilvl w:val="0"/>
          <w:numId w:val="35"/>
        </w:numPr>
        <w:spacing w:after="160" w:line="259" w:lineRule="auto"/>
      </w:pPr>
      <w:r w:rsidRPr="00B5325D">
        <w:t>The SDHP shall field a multidisciplinary team with strong expertise in:</w:t>
      </w:r>
    </w:p>
    <w:p w14:paraId="3AFF0D9E" w14:textId="77777777" w:rsidR="00B5325D" w:rsidRPr="00B5325D" w:rsidRDefault="00B5325D" w:rsidP="00CE2360">
      <w:pPr>
        <w:numPr>
          <w:ilvl w:val="1"/>
          <w:numId w:val="89"/>
        </w:numPr>
        <w:spacing w:after="160" w:line="259" w:lineRule="auto"/>
        <w:contextualSpacing/>
      </w:pPr>
      <w:r w:rsidRPr="00B5325D">
        <w:t>Digital health;</w:t>
      </w:r>
    </w:p>
    <w:p w14:paraId="65BA30A7" w14:textId="77777777" w:rsidR="00B5325D" w:rsidRPr="00B5325D" w:rsidRDefault="00B5325D" w:rsidP="00CE2360">
      <w:pPr>
        <w:numPr>
          <w:ilvl w:val="1"/>
          <w:numId w:val="89"/>
        </w:numPr>
        <w:spacing w:after="160" w:line="259" w:lineRule="auto"/>
        <w:contextualSpacing/>
      </w:pPr>
      <w:r w:rsidRPr="00B5325D">
        <w:t>Health system architecture;</w:t>
      </w:r>
    </w:p>
    <w:p w14:paraId="32E950BC" w14:textId="77777777" w:rsidR="00B5325D" w:rsidRPr="00B5325D" w:rsidRDefault="00B5325D" w:rsidP="00CE2360">
      <w:pPr>
        <w:numPr>
          <w:ilvl w:val="1"/>
          <w:numId w:val="89"/>
        </w:numPr>
        <w:spacing w:after="160" w:line="259" w:lineRule="auto"/>
        <w:contextualSpacing/>
      </w:pPr>
      <w:r w:rsidRPr="00B5325D">
        <w:t>Interoperability;</w:t>
      </w:r>
    </w:p>
    <w:p w14:paraId="3BCAFC83" w14:textId="77777777" w:rsidR="00B5325D" w:rsidRPr="00B5325D" w:rsidRDefault="00B5325D" w:rsidP="00CE2360">
      <w:pPr>
        <w:numPr>
          <w:ilvl w:val="1"/>
          <w:numId w:val="89"/>
        </w:numPr>
        <w:spacing w:after="160" w:line="259" w:lineRule="auto"/>
        <w:contextualSpacing/>
      </w:pPr>
      <w:r w:rsidRPr="00B5325D">
        <w:t>World Bank–financed project management.</w:t>
      </w:r>
    </w:p>
    <w:p w14:paraId="7545FA9D" w14:textId="77777777" w:rsidR="00B5325D" w:rsidRPr="00B5325D" w:rsidRDefault="00B5325D" w:rsidP="00CE2360">
      <w:pPr>
        <w:numPr>
          <w:ilvl w:val="0"/>
          <w:numId w:val="35"/>
        </w:numPr>
        <w:spacing w:after="160" w:line="259" w:lineRule="auto"/>
      </w:pPr>
      <w:r w:rsidRPr="00B5325D">
        <w:t>The team shall include at least:</w:t>
      </w:r>
    </w:p>
    <w:p w14:paraId="18AC4EC0" w14:textId="77777777" w:rsidR="00B5325D" w:rsidRPr="00B5325D" w:rsidRDefault="00B5325D" w:rsidP="00CE2360">
      <w:pPr>
        <w:numPr>
          <w:ilvl w:val="1"/>
          <w:numId w:val="90"/>
        </w:numPr>
        <w:spacing w:after="160" w:line="259" w:lineRule="auto"/>
        <w:contextualSpacing/>
      </w:pPr>
      <w:r w:rsidRPr="00B5325D">
        <w:lastRenderedPageBreak/>
        <w:t>Team Leader / Project Director;</w:t>
      </w:r>
    </w:p>
    <w:p w14:paraId="2555DD04" w14:textId="77777777" w:rsidR="00B5325D" w:rsidRPr="00B5325D" w:rsidRDefault="00B5325D" w:rsidP="00CE2360">
      <w:pPr>
        <w:numPr>
          <w:ilvl w:val="1"/>
          <w:numId w:val="90"/>
        </w:numPr>
        <w:spacing w:after="160" w:line="259" w:lineRule="auto"/>
        <w:contextualSpacing/>
      </w:pPr>
      <w:r w:rsidRPr="00B5325D">
        <w:t>Senior Digital Health Expert;</w:t>
      </w:r>
    </w:p>
    <w:p w14:paraId="6A0C9DF2" w14:textId="77777777" w:rsidR="00B5325D" w:rsidRPr="00B5325D" w:rsidRDefault="00B5325D" w:rsidP="00CE2360">
      <w:pPr>
        <w:numPr>
          <w:ilvl w:val="1"/>
          <w:numId w:val="90"/>
        </w:numPr>
        <w:spacing w:after="160" w:line="259" w:lineRule="auto"/>
        <w:contextualSpacing/>
      </w:pPr>
      <w:r w:rsidRPr="00B5325D">
        <w:t>Enterprise Architect (OpenHIE/FHIR/IHE);</w:t>
      </w:r>
    </w:p>
    <w:p w14:paraId="01142F4D" w14:textId="77777777" w:rsidR="00B5325D" w:rsidRPr="00B5325D" w:rsidRDefault="00B5325D" w:rsidP="00CE2360">
      <w:pPr>
        <w:numPr>
          <w:ilvl w:val="1"/>
          <w:numId w:val="90"/>
        </w:numPr>
        <w:spacing w:after="160" w:line="259" w:lineRule="auto"/>
        <w:contextualSpacing/>
      </w:pPr>
      <w:r w:rsidRPr="00B5325D">
        <w:t>FHIR/IHE Interoperability Specialist;</w:t>
      </w:r>
    </w:p>
    <w:p w14:paraId="7E673D0A" w14:textId="77777777" w:rsidR="00B5325D" w:rsidRPr="00B5325D" w:rsidRDefault="00B5325D" w:rsidP="00CE2360">
      <w:pPr>
        <w:numPr>
          <w:ilvl w:val="1"/>
          <w:numId w:val="90"/>
        </w:numPr>
        <w:contextualSpacing/>
      </w:pPr>
      <w:r w:rsidRPr="00B5325D">
        <w:t xml:space="preserve">Terminology Coding Expert </w:t>
      </w:r>
    </w:p>
    <w:p w14:paraId="599D9EF2" w14:textId="77777777" w:rsidR="00B5325D" w:rsidRPr="00B5325D" w:rsidRDefault="00B5325D" w:rsidP="00CE2360">
      <w:pPr>
        <w:numPr>
          <w:ilvl w:val="1"/>
          <w:numId w:val="90"/>
        </w:numPr>
        <w:contextualSpacing/>
      </w:pPr>
      <w:r w:rsidRPr="00B5325D">
        <w:t>UX / Patient Experience Specialist</w:t>
      </w:r>
    </w:p>
    <w:p w14:paraId="0EE7881A" w14:textId="77777777" w:rsidR="00B5325D" w:rsidRPr="00B5325D" w:rsidRDefault="00B5325D" w:rsidP="00CE2360">
      <w:pPr>
        <w:numPr>
          <w:ilvl w:val="1"/>
          <w:numId w:val="90"/>
        </w:numPr>
        <w:contextualSpacing/>
      </w:pPr>
      <w:r w:rsidRPr="00B5325D">
        <w:t>Government DPI / Digital Infrastructure Specialist</w:t>
      </w:r>
    </w:p>
    <w:p w14:paraId="635D0D48" w14:textId="77777777" w:rsidR="00B5325D" w:rsidRPr="00B5325D" w:rsidRDefault="00B5325D" w:rsidP="00CE2360">
      <w:pPr>
        <w:numPr>
          <w:ilvl w:val="1"/>
          <w:numId w:val="90"/>
        </w:numPr>
        <w:spacing w:after="160" w:line="259" w:lineRule="auto"/>
        <w:contextualSpacing/>
      </w:pPr>
      <w:r w:rsidRPr="00B5325D">
        <w:t>Information Systems Analyst &amp; Designer;</w:t>
      </w:r>
    </w:p>
    <w:p w14:paraId="03D37A12" w14:textId="77777777" w:rsidR="00B5325D" w:rsidRPr="00B5325D" w:rsidRDefault="00B5325D" w:rsidP="00CE2360">
      <w:pPr>
        <w:numPr>
          <w:ilvl w:val="1"/>
          <w:numId w:val="90"/>
        </w:numPr>
        <w:spacing w:after="160" w:line="259" w:lineRule="auto"/>
        <w:contextualSpacing/>
      </w:pPr>
      <w:r w:rsidRPr="00B5325D">
        <w:t>Cybersecurity and Data Protection Specialist;</w:t>
      </w:r>
    </w:p>
    <w:p w14:paraId="62FEC221" w14:textId="77777777" w:rsidR="00B5325D" w:rsidRPr="00B5325D" w:rsidRDefault="00B5325D" w:rsidP="00CE2360">
      <w:pPr>
        <w:numPr>
          <w:ilvl w:val="1"/>
          <w:numId w:val="90"/>
        </w:numPr>
        <w:spacing w:after="160" w:line="259" w:lineRule="auto"/>
        <w:contextualSpacing/>
      </w:pPr>
      <w:r w:rsidRPr="00B5325D">
        <w:t>Local Technical Liaison / Project Manager (based in Kosovo)</w:t>
      </w:r>
    </w:p>
    <w:p w14:paraId="626A51AA" w14:textId="77777777" w:rsidR="00B5325D" w:rsidRPr="00B5325D" w:rsidRDefault="00B5325D" w:rsidP="00CE2360">
      <w:pPr>
        <w:numPr>
          <w:ilvl w:val="0"/>
          <w:numId w:val="35"/>
        </w:numPr>
        <w:spacing w:after="160" w:line="259" w:lineRule="auto"/>
      </w:pPr>
      <w:r w:rsidRPr="00B5325D">
        <w:t>All experts must be independent from vendors that may bid for IHIS implementation contracts, and SDHP shall be responsible for ensuring that all its experts perform their duties professionally, with integrity, and without any conflict of interest in relation to any parties bidding or contracted for the IHIS implementation.</w:t>
      </w:r>
    </w:p>
    <w:p w14:paraId="23CBD342" w14:textId="77777777" w:rsidR="00B5325D" w:rsidRPr="00B5325D" w:rsidRDefault="00B5325D" w:rsidP="00B5325D">
      <w:pPr>
        <w:rPr>
          <w:b/>
          <w:bCs/>
        </w:rPr>
      </w:pPr>
      <w:r w:rsidRPr="00B5325D">
        <w:rPr>
          <w:b/>
          <w:bCs/>
        </w:rPr>
        <w:t>5.2 Role Descriptions and Minimum Qualifications</w:t>
      </w:r>
    </w:p>
    <w:p w14:paraId="5D743F0D" w14:textId="77777777" w:rsidR="00B5325D" w:rsidRPr="00B5325D" w:rsidRDefault="00B5325D" w:rsidP="00CE2360">
      <w:pPr>
        <w:numPr>
          <w:ilvl w:val="0"/>
          <w:numId w:val="36"/>
        </w:numPr>
        <w:spacing w:before="120" w:after="120" w:line="259" w:lineRule="auto"/>
      </w:pPr>
      <w:r w:rsidRPr="00B5325D">
        <w:rPr>
          <w:b/>
          <w:bCs/>
        </w:rPr>
        <w:t>Team Leader / Project Director</w:t>
      </w:r>
    </w:p>
    <w:p w14:paraId="4FA3B8C7" w14:textId="77777777" w:rsidR="00B5325D" w:rsidRPr="00B5325D" w:rsidRDefault="00B5325D" w:rsidP="00CE2360">
      <w:pPr>
        <w:numPr>
          <w:ilvl w:val="0"/>
          <w:numId w:val="91"/>
        </w:numPr>
        <w:spacing w:after="160" w:line="259" w:lineRule="auto"/>
        <w:contextualSpacing/>
      </w:pPr>
      <w:r w:rsidRPr="00B5325D">
        <w:t>Minimum 10 years’ experience in digital health projects and national HIS/HIE implementations;</w:t>
      </w:r>
    </w:p>
    <w:p w14:paraId="56F48914" w14:textId="77777777" w:rsidR="00B5325D" w:rsidRPr="00B5325D" w:rsidRDefault="00B5325D" w:rsidP="00CE2360">
      <w:pPr>
        <w:numPr>
          <w:ilvl w:val="0"/>
          <w:numId w:val="91"/>
        </w:numPr>
        <w:spacing w:after="160" w:line="259" w:lineRule="auto"/>
        <w:contextualSpacing/>
      </w:pPr>
      <w:r w:rsidRPr="00B5325D">
        <w:t>Experience with World Bank or similar donor-funded projects;</w:t>
      </w:r>
    </w:p>
    <w:p w14:paraId="7E3B957C" w14:textId="77777777" w:rsidR="00B5325D" w:rsidRPr="00B5325D" w:rsidRDefault="00B5325D" w:rsidP="00CE2360">
      <w:pPr>
        <w:numPr>
          <w:ilvl w:val="0"/>
          <w:numId w:val="91"/>
        </w:numPr>
        <w:spacing w:after="160" w:line="259" w:lineRule="auto"/>
        <w:contextualSpacing/>
      </w:pPr>
      <w:r w:rsidRPr="00B5325D">
        <w:t>In-depth knowledge of FHIR, IHE, OpenHIE.</w:t>
      </w:r>
    </w:p>
    <w:p w14:paraId="4EE2B25A" w14:textId="77777777" w:rsidR="00B5325D" w:rsidRPr="00B5325D" w:rsidRDefault="00B5325D" w:rsidP="00CE2360">
      <w:pPr>
        <w:numPr>
          <w:ilvl w:val="0"/>
          <w:numId w:val="91"/>
        </w:numPr>
        <w:spacing w:after="160" w:line="259" w:lineRule="auto"/>
        <w:contextualSpacing/>
      </w:pPr>
      <w:r w:rsidRPr="00B5325D">
        <w:t>Familiarity with EU transition requirements and EDHS regulations effective as of August 2026</w:t>
      </w:r>
    </w:p>
    <w:p w14:paraId="69E10DB8" w14:textId="77777777" w:rsidR="00B5325D" w:rsidRPr="00B5325D" w:rsidRDefault="00B5325D" w:rsidP="00CE2360">
      <w:pPr>
        <w:numPr>
          <w:ilvl w:val="0"/>
          <w:numId w:val="37"/>
        </w:numPr>
        <w:spacing w:after="160" w:line="259" w:lineRule="auto"/>
      </w:pPr>
      <w:r w:rsidRPr="00B5325D">
        <w:rPr>
          <w:b/>
          <w:bCs/>
        </w:rPr>
        <w:t>Senior Digital Health Expert</w:t>
      </w:r>
    </w:p>
    <w:p w14:paraId="79D842AD" w14:textId="77777777" w:rsidR="00B5325D" w:rsidRPr="00B5325D" w:rsidRDefault="00B5325D" w:rsidP="00CE2360">
      <w:pPr>
        <w:numPr>
          <w:ilvl w:val="0"/>
          <w:numId w:val="92"/>
        </w:numPr>
        <w:spacing w:after="160" w:line="259" w:lineRule="auto"/>
        <w:contextualSpacing/>
      </w:pPr>
      <w:r w:rsidRPr="00B5325D">
        <w:t>10+ years’ experience in digital health transformation;</w:t>
      </w:r>
    </w:p>
    <w:p w14:paraId="7882EA32" w14:textId="77777777" w:rsidR="00B5325D" w:rsidRPr="00B5325D" w:rsidRDefault="00B5325D" w:rsidP="00CE2360">
      <w:pPr>
        <w:numPr>
          <w:ilvl w:val="0"/>
          <w:numId w:val="92"/>
        </w:numPr>
        <w:spacing w:after="160" w:line="259" w:lineRule="auto"/>
        <w:contextualSpacing/>
      </w:pPr>
      <w:r w:rsidRPr="00B5325D">
        <w:t>Expertise in FHIR, IHE, ICD-11, SNOMED CT;</w:t>
      </w:r>
    </w:p>
    <w:p w14:paraId="515F6A09" w14:textId="77777777" w:rsidR="00B5325D" w:rsidRPr="00B5325D" w:rsidRDefault="00B5325D" w:rsidP="00CE2360">
      <w:pPr>
        <w:numPr>
          <w:ilvl w:val="0"/>
          <w:numId w:val="92"/>
        </w:numPr>
        <w:spacing w:after="160" w:line="259" w:lineRule="auto"/>
        <w:contextualSpacing/>
      </w:pPr>
      <w:r w:rsidRPr="00B5325D">
        <w:t>Experience in HIS/HIE strategy and data governance.</w:t>
      </w:r>
    </w:p>
    <w:p w14:paraId="5473CE6F" w14:textId="77777777" w:rsidR="00B5325D" w:rsidRPr="00B5325D" w:rsidRDefault="00B5325D" w:rsidP="00CE2360">
      <w:pPr>
        <w:numPr>
          <w:ilvl w:val="0"/>
          <w:numId w:val="92"/>
        </w:numPr>
        <w:spacing w:after="160" w:line="259" w:lineRule="auto"/>
        <w:contextualSpacing/>
      </w:pPr>
      <w:r w:rsidRPr="00B5325D">
        <w:t>Familiarity with EU transition requirements and EDHS regulations effective as of August 2026</w:t>
      </w:r>
    </w:p>
    <w:p w14:paraId="79C35921" w14:textId="77777777" w:rsidR="00B5325D" w:rsidRPr="00B5325D" w:rsidRDefault="00B5325D" w:rsidP="00CE2360">
      <w:pPr>
        <w:numPr>
          <w:ilvl w:val="0"/>
          <w:numId w:val="38"/>
        </w:numPr>
        <w:spacing w:after="160" w:line="259" w:lineRule="auto"/>
      </w:pPr>
      <w:r w:rsidRPr="00B5325D">
        <w:rPr>
          <w:b/>
          <w:bCs/>
        </w:rPr>
        <w:t>Enterprise Architect (OpenHIE/FHIR/IHE)</w:t>
      </w:r>
    </w:p>
    <w:p w14:paraId="563F3AE7" w14:textId="77777777" w:rsidR="00B5325D" w:rsidRPr="00B5325D" w:rsidRDefault="00B5325D" w:rsidP="00CE2360">
      <w:pPr>
        <w:numPr>
          <w:ilvl w:val="0"/>
          <w:numId w:val="93"/>
        </w:numPr>
        <w:spacing w:after="160" w:line="259" w:lineRule="auto"/>
        <w:contextualSpacing/>
      </w:pPr>
      <w:r w:rsidRPr="00B5325D">
        <w:t>8+ years’ experience in IT and health systems architecture;</w:t>
      </w:r>
    </w:p>
    <w:p w14:paraId="52C389C2" w14:textId="77777777" w:rsidR="00B5325D" w:rsidRPr="00B5325D" w:rsidRDefault="00B5325D" w:rsidP="00CE2360">
      <w:pPr>
        <w:numPr>
          <w:ilvl w:val="0"/>
          <w:numId w:val="93"/>
        </w:numPr>
        <w:spacing w:after="160" w:line="259" w:lineRule="auto"/>
        <w:contextualSpacing/>
      </w:pPr>
      <w:r w:rsidRPr="00B5325D">
        <w:t>Competence in HL7 FHIR, IHE XDS/XCA and OpenHIE building blocks;</w:t>
      </w:r>
    </w:p>
    <w:p w14:paraId="3288A926" w14:textId="77777777" w:rsidR="00B5325D" w:rsidRPr="00B5325D" w:rsidRDefault="00B5325D" w:rsidP="00CE2360">
      <w:pPr>
        <w:numPr>
          <w:ilvl w:val="0"/>
          <w:numId w:val="93"/>
        </w:numPr>
        <w:spacing w:after="160" w:line="259" w:lineRule="auto"/>
        <w:contextualSpacing/>
      </w:pPr>
      <w:r w:rsidRPr="00B5325D">
        <w:t>Experience in designing IL, SHR, registries and data models.</w:t>
      </w:r>
    </w:p>
    <w:p w14:paraId="3FCDF032" w14:textId="77777777" w:rsidR="00B5325D" w:rsidRPr="00B5325D" w:rsidRDefault="00B5325D" w:rsidP="00CE2360">
      <w:pPr>
        <w:numPr>
          <w:ilvl w:val="0"/>
          <w:numId w:val="93"/>
        </w:numPr>
        <w:spacing w:after="160" w:line="259" w:lineRule="auto"/>
        <w:contextualSpacing/>
      </w:pPr>
      <w:r w:rsidRPr="00B5325D">
        <w:t>Familiarity with EU transition requirements and EDHS regulations effective as of August 2026.</w:t>
      </w:r>
    </w:p>
    <w:p w14:paraId="5A847C63" w14:textId="77777777" w:rsidR="00B5325D" w:rsidRPr="00B5325D" w:rsidRDefault="00B5325D" w:rsidP="00CE2360">
      <w:pPr>
        <w:numPr>
          <w:ilvl w:val="0"/>
          <w:numId w:val="39"/>
        </w:numPr>
        <w:spacing w:after="160" w:line="259" w:lineRule="auto"/>
      </w:pPr>
      <w:r w:rsidRPr="00B5325D">
        <w:rPr>
          <w:b/>
          <w:bCs/>
        </w:rPr>
        <w:t>FHIR/IHE Interoperability Specialist</w:t>
      </w:r>
    </w:p>
    <w:p w14:paraId="27A4D415" w14:textId="77777777" w:rsidR="00B5325D" w:rsidRPr="00B5325D" w:rsidRDefault="00B5325D" w:rsidP="00CE2360">
      <w:pPr>
        <w:numPr>
          <w:ilvl w:val="0"/>
          <w:numId w:val="94"/>
        </w:numPr>
        <w:spacing w:after="160" w:line="259" w:lineRule="auto"/>
        <w:contextualSpacing/>
      </w:pPr>
      <w:r w:rsidRPr="00B5325D">
        <w:t>Practical experience in FHIR profiles and Implementation Guides;</w:t>
      </w:r>
    </w:p>
    <w:p w14:paraId="7968F59A" w14:textId="77777777" w:rsidR="00B5325D" w:rsidRPr="00B5325D" w:rsidRDefault="00B5325D" w:rsidP="00CE2360">
      <w:pPr>
        <w:numPr>
          <w:ilvl w:val="0"/>
          <w:numId w:val="94"/>
        </w:numPr>
        <w:spacing w:after="160" w:line="259" w:lineRule="auto"/>
        <w:contextualSpacing/>
      </w:pPr>
      <w:r w:rsidRPr="00B5325D">
        <w:t>Testing/validation using Gazelle or Touchstone;</w:t>
      </w:r>
    </w:p>
    <w:p w14:paraId="4AA31C31" w14:textId="77777777" w:rsidR="00B5325D" w:rsidRPr="00B5325D" w:rsidRDefault="00B5325D" w:rsidP="00CE2360">
      <w:pPr>
        <w:numPr>
          <w:ilvl w:val="0"/>
          <w:numId w:val="94"/>
        </w:numPr>
        <w:spacing w:after="160" w:line="259" w:lineRule="auto"/>
        <w:contextualSpacing/>
      </w:pPr>
      <w:r w:rsidRPr="00B5325D">
        <w:t>Experience with API integration and IHE workflows.</w:t>
      </w:r>
    </w:p>
    <w:p w14:paraId="6E7D5864" w14:textId="77777777" w:rsidR="00B5325D" w:rsidRPr="00B5325D" w:rsidRDefault="00B5325D" w:rsidP="00CE2360">
      <w:pPr>
        <w:numPr>
          <w:ilvl w:val="0"/>
          <w:numId w:val="94"/>
        </w:numPr>
        <w:spacing w:after="160" w:line="259" w:lineRule="auto"/>
      </w:pPr>
      <w:r w:rsidRPr="00B5325D">
        <w:t>Familiarity with EU transition requirements and EDHS regulations effective as of August 2026.</w:t>
      </w:r>
    </w:p>
    <w:p w14:paraId="59B4F74D" w14:textId="77777777" w:rsidR="00B5325D" w:rsidRPr="00B5325D" w:rsidRDefault="00B5325D" w:rsidP="00CE2360">
      <w:pPr>
        <w:numPr>
          <w:ilvl w:val="0"/>
          <w:numId w:val="40"/>
        </w:numPr>
        <w:spacing w:after="160" w:line="259" w:lineRule="auto"/>
        <w:contextualSpacing/>
      </w:pPr>
      <w:r w:rsidRPr="00B5325D">
        <w:lastRenderedPageBreak/>
        <w:t>Terminology Coding Expert</w:t>
      </w:r>
    </w:p>
    <w:p w14:paraId="0E80324C" w14:textId="77777777" w:rsidR="00B5325D" w:rsidRPr="00B5325D" w:rsidRDefault="00B5325D" w:rsidP="00CE2360">
      <w:pPr>
        <w:numPr>
          <w:ilvl w:val="0"/>
          <w:numId w:val="128"/>
        </w:numPr>
        <w:spacing w:after="160" w:line="259" w:lineRule="auto"/>
        <w:contextualSpacing/>
      </w:pPr>
      <w:r w:rsidRPr="00B5325D">
        <w:t>Trained in medical coding, familiar with different coding systems and FHIR;</w:t>
      </w:r>
    </w:p>
    <w:p w14:paraId="6716419C" w14:textId="77777777" w:rsidR="00B5325D" w:rsidRPr="00B5325D" w:rsidRDefault="00B5325D" w:rsidP="00CE2360">
      <w:pPr>
        <w:numPr>
          <w:ilvl w:val="0"/>
          <w:numId w:val="128"/>
        </w:numPr>
        <w:spacing w:after="160" w:line="259" w:lineRule="auto"/>
        <w:contextualSpacing/>
      </w:pPr>
      <w:r w:rsidRPr="00B5325D">
        <w:t>Responsible for customization of terminologies (e.g., SNOMED CT) for Kosovo use;</w:t>
      </w:r>
    </w:p>
    <w:p w14:paraId="5BDFD9C2" w14:textId="77777777" w:rsidR="00B5325D" w:rsidRPr="00B5325D" w:rsidRDefault="00B5325D" w:rsidP="00CE2360">
      <w:pPr>
        <w:numPr>
          <w:ilvl w:val="0"/>
          <w:numId w:val="128"/>
        </w:numPr>
        <w:spacing w:after="160" w:line="259" w:lineRule="auto"/>
        <w:contextualSpacing/>
      </w:pPr>
      <w:r w:rsidRPr="00B5325D">
        <w:t>Oversight of FHIR Implementation Guides;</w:t>
      </w:r>
    </w:p>
    <w:p w14:paraId="35B1CA62" w14:textId="77777777" w:rsidR="00B5325D" w:rsidRPr="00B5325D" w:rsidRDefault="00B5325D" w:rsidP="00CE2360">
      <w:pPr>
        <w:numPr>
          <w:ilvl w:val="0"/>
          <w:numId w:val="128"/>
        </w:numPr>
        <w:spacing w:after="160" w:line="259" w:lineRule="auto"/>
        <w:contextualSpacing/>
      </w:pPr>
      <w:r w:rsidRPr="00B5325D">
        <w:t>Experience in integrating multiple coding systems for national health information systems.</w:t>
      </w:r>
    </w:p>
    <w:p w14:paraId="00ADE274" w14:textId="77777777" w:rsidR="00B5325D" w:rsidRPr="00B5325D" w:rsidRDefault="00B5325D" w:rsidP="00CE2360">
      <w:pPr>
        <w:numPr>
          <w:ilvl w:val="0"/>
          <w:numId w:val="128"/>
        </w:numPr>
        <w:spacing w:after="160" w:line="259" w:lineRule="auto"/>
        <w:contextualSpacing/>
      </w:pPr>
      <w:r w:rsidRPr="00B5325D">
        <w:t>Familiarity with EU transition requirements and EDHS regulations effective as of August 2026;</w:t>
      </w:r>
    </w:p>
    <w:p w14:paraId="29D52F3E" w14:textId="77777777" w:rsidR="00B5325D" w:rsidRPr="00B5325D" w:rsidRDefault="00B5325D" w:rsidP="00CE2360">
      <w:pPr>
        <w:numPr>
          <w:ilvl w:val="0"/>
          <w:numId w:val="128"/>
        </w:numPr>
        <w:spacing w:after="160" w:line="259" w:lineRule="auto"/>
        <w:contextualSpacing/>
      </w:pPr>
      <w:r w:rsidRPr="00B5325D">
        <w:t>Relevant degree in health informatics, medical coding, or equivalent;</w:t>
      </w:r>
    </w:p>
    <w:p w14:paraId="728232B7" w14:textId="77777777" w:rsidR="00B5325D" w:rsidRPr="00B5325D" w:rsidRDefault="00B5325D" w:rsidP="00CE2360">
      <w:pPr>
        <w:numPr>
          <w:ilvl w:val="0"/>
          <w:numId w:val="128"/>
        </w:numPr>
        <w:spacing w:after="160" w:line="259" w:lineRule="auto"/>
        <w:contextualSpacing/>
      </w:pPr>
      <w:r w:rsidRPr="00B5325D">
        <w:t>Proven experience in health terminology systems and FHIR implementation;</w:t>
      </w:r>
    </w:p>
    <w:p w14:paraId="07E08FFB" w14:textId="77777777" w:rsidR="00B5325D" w:rsidRPr="00B5325D" w:rsidRDefault="00B5325D" w:rsidP="00CE2360">
      <w:pPr>
        <w:numPr>
          <w:ilvl w:val="0"/>
          <w:numId w:val="128"/>
        </w:numPr>
        <w:spacing w:after="160" w:line="259" w:lineRule="auto"/>
      </w:pPr>
      <w:r w:rsidRPr="00B5325D">
        <w:t>Experience with national-level HIS/HIE projects preferred.</w:t>
      </w:r>
    </w:p>
    <w:p w14:paraId="4D0044DC" w14:textId="77777777" w:rsidR="00B5325D" w:rsidRPr="00B5325D" w:rsidRDefault="00B5325D" w:rsidP="00CE2360">
      <w:pPr>
        <w:numPr>
          <w:ilvl w:val="0"/>
          <w:numId w:val="40"/>
        </w:numPr>
        <w:spacing w:after="160" w:line="259" w:lineRule="auto"/>
        <w:contextualSpacing/>
      </w:pPr>
      <w:r w:rsidRPr="00B5325D">
        <w:t>UX / Patient Experience Specialist</w:t>
      </w:r>
    </w:p>
    <w:p w14:paraId="1E5E7A00" w14:textId="77777777" w:rsidR="00B5325D" w:rsidRPr="00B5325D" w:rsidRDefault="00B5325D" w:rsidP="00CE2360">
      <w:pPr>
        <w:numPr>
          <w:ilvl w:val="0"/>
          <w:numId w:val="131"/>
        </w:numPr>
        <w:tabs>
          <w:tab w:val="left" w:pos="810"/>
        </w:tabs>
        <w:contextualSpacing/>
        <w:rPr>
          <w:rFonts w:hAnsi="Symbol"/>
        </w:rPr>
      </w:pPr>
      <w:r w:rsidRPr="00B5325D">
        <w:rPr>
          <w:rFonts w:hAnsi="Symbol"/>
        </w:rPr>
        <w:t>Bachelor</w:t>
      </w:r>
      <w:r w:rsidRPr="00B5325D">
        <w:rPr>
          <w:rFonts w:hAnsi="Symbol" w:hint="eastAsia"/>
        </w:rPr>
        <w:t>’</w:t>
      </w:r>
      <w:r w:rsidRPr="00B5325D">
        <w:rPr>
          <w:rFonts w:hAnsi="Symbol"/>
        </w:rPr>
        <w:t>s or Master</w:t>
      </w:r>
      <w:r w:rsidRPr="00B5325D">
        <w:rPr>
          <w:rFonts w:hAnsi="Symbol" w:hint="eastAsia"/>
        </w:rPr>
        <w:t>’</w:t>
      </w:r>
      <w:r w:rsidRPr="00B5325D">
        <w:rPr>
          <w:rFonts w:hAnsi="Symbol"/>
        </w:rPr>
        <w:t>s degree in UX Design, Human-Computer Interaction, Digital Health, or related field.</w:t>
      </w:r>
    </w:p>
    <w:p w14:paraId="297B0FD1" w14:textId="77777777" w:rsidR="00B5325D" w:rsidRPr="00B5325D" w:rsidRDefault="00B5325D" w:rsidP="00CE2360">
      <w:pPr>
        <w:numPr>
          <w:ilvl w:val="0"/>
          <w:numId w:val="131"/>
        </w:numPr>
        <w:tabs>
          <w:tab w:val="left" w:pos="810"/>
        </w:tabs>
        <w:contextualSpacing/>
        <w:rPr>
          <w:rFonts w:hAnsi="Symbol"/>
        </w:rPr>
      </w:pPr>
      <w:r w:rsidRPr="00B5325D">
        <w:rPr>
          <w:rFonts w:hAnsi="Symbol"/>
        </w:rPr>
        <w:t>Minimum 3-5 years of experience in UX design for digital health or complex IT systems.</w:t>
      </w:r>
    </w:p>
    <w:p w14:paraId="711A9924" w14:textId="77777777" w:rsidR="00B5325D" w:rsidRPr="00B5325D" w:rsidRDefault="00B5325D" w:rsidP="00CE2360">
      <w:pPr>
        <w:numPr>
          <w:ilvl w:val="0"/>
          <w:numId w:val="131"/>
        </w:numPr>
        <w:tabs>
          <w:tab w:val="left" w:pos="810"/>
        </w:tabs>
        <w:contextualSpacing/>
        <w:rPr>
          <w:rFonts w:hAnsi="Symbol"/>
        </w:rPr>
      </w:pPr>
      <w:r w:rsidRPr="00B5325D">
        <w:rPr>
          <w:rFonts w:hAnsi="Symbol"/>
        </w:rPr>
        <w:t>Strong knowledge of usability, accessibility standards, and patient-centered design principles.</w:t>
      </w:r>
    </w:p>
    <w:p w14:paraId="24720094" w14:textId="77777777" w:rsidR="00B5325D" w:rsidRPr="00B5325D" w:rsidRDefault="00B5325D" w:rsidP="00CE2360">
      <w:pPr>
        <w:numPr>
          <w:ilvl w:val="0"/>
          <w:numId w:val="131"/>
        </w:numPr>
        <w:tabs>
          <w:tab w:val="left" w:pos="810"/>
        </w:tabs>
        <w:contextualSpacing/>
        <w:rPr>
          <w:rFonts w:hAnsi="Symbol"/>
        </w:rPr>
      </w:pPr>
      <w:r w:rsidRPr="00B5325D">
        <w:rPr>
          <w:rFonts w:hAnsi="Symbol"/>
        </w:rPr>
        <w:t>Proven experience in UX design and evaluation in health information systems.</w:t>
      </w:r>
    </w:p>
    <w:p w14:paraId="448CE30A" w14:textId="77777777" w:rsidR="00B5325D" w:rsidRPr="00B5325D" w:rsidRDefault="00B5325D" w:rsidP="00CE2360">
      <w:pPr>
        <w:numPr>
          <w:ilvl w:val="0"/>
          <w:numId w:val="131"/>
        </w:numPr>
        <w:tabs>
          <w:tab w:val="left" w:pos="810"/>
        </w:tabs>
        <w:contextualSpacing/>
        <w:rPr>
          <w:rFonts w:hAnsi="Symbol"/>
        </w:rPr>
      </w:pPr>
      <w:r w:rsidRPr="00B5325D">
        <w:rPr>
          <w:rFonts w:hAnsi="Symbol"/>
        </w:rPr>
        <w:t>Familiarity with EU transition requirements and EDHS regulations effective as of August 2026.</w:t>
      </w:r>
    </w:p>
    <w:p w14:paraId="6BEED617" w14:textId="77777777" w:rsidR="00B5325D" w:rsidRPr="00B5325D" w:rsidRDefault="00B5325D" w:rsidP="00CE2360">
      <w:pPr>
        <w:numPr>
          <w:ilvl w:val="0"/>
          <w:numId w:val="131"/>
        </w:numPr>
        <w:tabs>
          <w:tab w:val="left" w:pos="810"/>
        </w:tabs>
        <w:contextualSpacing/>
        <w:rPr>
          <w:rFonts w:hAnsi="Symbol"/>
        </w:rPr>
      </w:pPr>
      <w:r w:rsidRPr="00B5325D">
        <w:rPr>
          <w:rFonts w:hAnsi="Symbol"/>
        </w:rPr>
        <w:t>Experience with user research, wireframing, prototyping, and design tools (e.g., Figma, Sketch, Adobe XD).</w:t>
      </w:r>
    </w:p>
    <w:p w14:paraId="449819EE" w14:textId="77777777" w:rsidR="00B5325D" w:rsidRPr="00B5325D" w:rsidRDefault="00B5325D" w:rsidP="00CE2360">
      <w:pPr>
        <w:numPr>
          <w:ilvl w:val="0"/>
          <w:numId w:val="131"/>
        </w:numPr>
        <w:tabs>
          <w:tab w:val="left" w:pos="810"/>
        </w:tabs>
        <w:spacing w:after="120"/>
        <w:rPr>
          <w:rFonts w:hAnsi="Symbol"/>
        </w:rPr>
      </w:pPr>
      <w:r w:rsidRPr="00B5325D">
        <w:rPr>
          <w:rFonts w:hAnsi="Symbol"/>
        </w:rPr>
        <w:t>Familiarity with healthcare workflows and patient portal systems is an advantage.</w:t>
      </w:r>
    </w:p>
    <w:p w14:paraId="1A2796C1" w14:textId="77777777" w:rsidR="00B5325D" w:rsidRPr="00B5325D" w:rsidRDefault="00B5325D" w:rsidP="00CE2360">
      <w:pPr>
        <w:numPr>
          <w:ilvl w:val="0"/>
          <w:numId w:val="40"/>
        </w:numPr>
        <w:contextualSpacing/>
      </w:pPr>
      <w:r w:rsidRPr="00B5325D">
        <w:rPr>
          <w:rFonts w:hAnsi="Symbol"/>
        </w:rPr>
        <w:t>Excellent communication and collaboration skills for cross-functional teams.</w:t>
      </w:r>
      <w:r w:rsidRPr="00B5325D">
        <w:t>Government DPI / Digital Infrastructure Specialist</w:t>
      </w:r>
    </w:p>
    <w:p w14:paraId="7BCF350A" w14:textId="77777777" w:rsidR="00B5325D" w:rsidRPr="00B5325D" w:rsidRDefault="00B5325D" w:rsidP="00CE2360">
      <w:pPr>
        <w:numPr>
          <w:ilvl w:val="0"/>
          <w:numId w:val="129"/>
        </w:numPr>
        <w:ind w:left="1170" w:hanging="450"/>
        <w:contextualSpacing/>
      </w:pPr>
      <w:r w:rsidRPr="00B5325D">
        <w:t>8+ years experience and expertise in DPI tools and government-wide digital building blocks;</w:t>
      </w:r>
    </w:p>
    <w:p w14:paraId="5732B30C" w14:textId="77777777" w:rsidR="00B5325D" w:rsidRPr="00B5325D" w:rsidRDefault="00B5325D" w:rsidP="00CE2360">
      <w:pPr>
        <w:numPr>
          <w:ilvl w:val="0"/>
          <w:numId w:val="129"/>
        </w:numPr>
        <w:ind w:left="1170" w:hanging="450"/>
        <w:contextualSpacing/>
      </w:pPr>
      <w:r w:rsidRPr="00B5325D">
        <w:t>Ensure integration of DPI building blocks into IHIS architecture design;</w:t>
      </w:r>
    </w:p>
    <w:p w14:paraId="4F0BBB49" w14:textId="77777777" w:rsidR="00B5325D" w:rsidRPr="00B5325D" w:rsidRDefault="00B5325D" w:rsidP="00CE2360">
      <w:pPr>
        <w:numPr>
          <w:ilvl w:val="0"/>
          <w:numId w:val="129"/>
        </w:numPr>
        <w:ind w:left="1170" w:hanging="450"/>
        <w:contextualSpacing/>
      </w:pPr>
      <w:r w:rsidRPr="00B5325D">
        <w:t>Experience in coordinating with government ministries on digital transformation;</w:t>
      </w:r>
    </w:p>
    <w:p w14:paraId="101CB6E4" w14:textId="77777777" w:rsidR="00B5325D" w:rsidRPr="00B5325D" w:rsidRDefault="00B5325D" w:rsidP="00CE2360">
      <w:pPr>
        <w:numPr>
          <w:ilvl w:val="0"/>
          <w:numId w:val="129"/>
        </w:numPr>
        <w:ind w:left="1170" w:hanging="450"/>
        <w:contextualSpacing/>
      </w:pPr>
      <w:r w:rsidRPr="00B5325D">
        <w:t>Support alignment of IHIS design with government digitalization standards;</w:t>
      </w:r>
    </w:p>
    <w:p w14:paraId="38A0F45D" w14:textId="77777777" w:rsidR="00B5325D" w:rsidRPr="00B5325D" w:rsidRDefault="00B5325D" w:rsidP="00CE2360">
      <w:pPr>
        <w:numPr>
          <w:ilvl w:val="0"/>
          <w:numId w:val="129"/>
        </w:numPr>
        <w:ind w:left="1170" w:hanging="450"/>
        <w:contextualSpacing/>
      </w:pPr>
      <w:r w:rsidRPr="00B5325D">
        <w:t>Relevant degree in Computer Science, Public Administration, Digital Governance, or equivalent;</w:t>
      </w:r>
    </w:p>
    <w:p w14:paraId="11CB5BB8" w14:textId="77777777" w:rsidR="00B5325D" w:rsidRPr="00B5325D" w:rsidRDefault="00B5325D" w:rsidP="00CE2360">
      <w:pPr>
        <w:numPr>
          <w:ilvl w:val="0"/>
          <w:numId w:val="129"/>
        </w:numPr>
        <w:ind w:left="1170" w:hanging="450"/>
        <w:contextualSpacing/>
      </w:pPr>
      <w:r w:rsidRPr="00B5325D">
        <w:t>Proven experience in designing or implementing DPI frameworks or similar national digital initiatives.</w:t>
      </w:r>
    </w:p>
    <w:p w14:paraId="418A63B5" w14:textId="77777777" w:rsidR="00B5325D" w:rsidRPr="00B5325D" w:rsidRDefault="00B5325D" w:rsidP="00CE2360">
      <w:pPr>
        <w:numPr>
          <w:ilvl w:val="0"/>
          <w:numId w:val="129"/>
        </w:numPr>
        <w:spacing w:after="160"/>
        <w:ind w:left="1166" w:hanging="446"/>
      </w:pPr>
      <w:r w:rsidRPr="00B5325D">
        <w:t>Familiarity with EU transition requirements and EDHS regulations effective as of August 2026.</w:t>
      </w:r>
    </w:p>
    <w:p w14:paraId="751FE3A1" w14:textId="77777777" w:rsidR="00B5325D" w:rsidRPr="00B5325D" w:rsidRDefault="00B5325D" w:rsidP="00CE2360">
      <w:pPr>
        <w:numPr>
          <w:ilvl w:val="0"/>
          <w:numId w:val="129"/>
        </w:numPr>
        <w:spacing w:after="160"/>
        <w:ind w:left="1080"/>
        <w:contextualSpacing/>
      </w:pPr>
      <w:r w:rsidRPr="00B5325D">
        <w:t>Review and oversee user interfaces for all IHIS components to ensure they are user-friendly and intuitive.</w:t>
      </w:r>
    </w:p>
    <w:p w14:paraId="636C7F43" w14:textId="77777777" w:rsidR="00B5325D" w:rsidRPr="00B5325D" w:rsidRDefault="00B5325D" w:rsidP="00CE2360">
      <w:pPr>
        <w:numPr>
          <w:ilvl w:val="0"/>
          <w:numId w:val="129"/>
        </w:numPr>
        <w:spacing w:after="160"/>
        <w:ind w:left="1080"/>
        <w:contextualSpacing/>
      </w:pPr>
      <w:r w:rsidRPr="00B5325D">
        <w:t>Support technical oversight to optimize usability, accessibility, and patient engagement.</w:t>
      </w:r>
    </w:p>
    <w:p w14:paraId="545B1D35" w14:textId="77777777" w:rsidR="00B5325D" w:rsidRPr="00B5325D" w:rsidRDefault="00B5325D" w:rsidP="00CE2360">
      <w:pPr>
        <w:numPr>
          <w:ilvl w:val="0"/>
          <w:numId w:val="129"/>
        </w:numPr>
        <w:spacing w:after="160"/>
        <w:ind w:left="1080"/>
        <w:contextualSpacing/>
      </w:pPr>
      <w:r w:rsidRPr="00B5325D">
        <w:t>Coordinate with development teams to implement UX best practices.</w:t>
      </w:r>
    </w:p>
    <w:p w14:paraId="467C5B5C" w14:textId="77777777" w:rsidR="00B5325D" w:rsidRPr="00B5325D" w:rsidRDefault="00B5325D" w:rsidP="00CE2360">
      <w:pPr>
        <w:numPr>
          <w:ilvl w:val="0"/>
          <w:numId w:val="129"/>
        </w:numPr>
        <w:spacing w:after="160"/>
        <w:ind w:left="1080"/>
      </w:pPr>
      <w:r w:rsidRPr="00B5325D">
        <w:lastRenderedPageBreak/>
        <w:t>Advise on design decisions for patient portals and provider-facing systems.</w:t>
      </w:r>
    </w:p>
    <w:p w14:paraId="2BC9C1D9" w14:textId="77777777" w:rsidR="00B5325D" w:rsidRPr="00B5325D" w:rsidRDefault="00B5325D" w:rsidP="00CE2360">
      <w:pPr>
        <w:numPr>
          <w:ilvl w:val="0"/>
          <w:numId w:val="40"/>
        </w:numPr>
        <w:spacing w:after="160" w:line="259" w:lineRule="auto"/>
      </w:pPr>
      <w:r w:rsidRPr="00B5325D">
        <w:rPr>
          <w:b/>
          <w:bCs/>
        </w:rPr>
        <w:t>Information Systems Analyst &amp; Designer</w:t>
      </w:r>
    </w:p>
    <w:p w14:paraId="761E6B1C" w14:textId="77777777" w:rsidR="00B5325D" w:rsidRPr="00B5325D" w:rsidRDefault="00B5325D" w:rsidP="00CE2360">
      <w:pPr>
        <w:numPr>
          <w:ilvl w:val="0"/>
          <w:numId w:val="95"/>
        </w:numPr>
        <w:spacing w:after="160" w:line="259" w:lineRule="auto"/>
        <w:contextualSpacing/>
      </w:pPr>
      <w:r w:rsidRPr="00B5325D">
        <w:t>5+ years experience in UML/BPMN process modelling;</w:t>
      </w:r>
    </w:p>
    <w:p w14:paraId="080003BE" w14:textId="77777777" w:rsidR="00B5325D" w:rsidRPr="00B5325D" w:rsidRDefault="00B5325D" w:rsidP="00CE2360">
      <w:pPr>
        <w:numPr>
          <w:ilvl w:val="0"/>
          <w:numId w:val="95"/>
        </w:numPr>
        <w:spacing w:after="160" w:line="259" w:lineRule="auto"/>
        <w:contextualSpacing/>
      </w:pPr>
      <w:r w:rsidRPr="00B5325D">
        <w:t>Drafting technical specifications for World Bank tenders;</w:t>
      </w:r>
    </w:p>
    <w:p w14:paraId="039C392A" w14:textId="77777777" w:rsidR="00B5325D" w:rsidRPr="00B5325D" w:rsidRDefault="00B5325D" w:rsidP="00CE2360">
      <w:pPr>
        <w:numPr>
          <w:ilvl w:val="0"/>
          <w:numId w:val="95"/>
        </w:numPr>
        <w:spacing w:after="160" w:line="259" w:lineRule="auto"/>
        <w:contextualSpacing/>
      </w:pPr>
      <w:r w:rsidRPr="00B5325D">
        <w:t>Knowledge of databases, integrations and business requirements analysis.</w:t>
      </w:r>
    </w:p>
    <w:p w14:paraId="1B49A905" w14:textId="77777777" w:rsidR="00B5325D" w:rsidRPr="00B5325D" w:rsidRDefault="00B5325D" w:rsidP="00CE2360">
      <w:pPr>
        <w:numPr>
          <w:ilvl w:val="0"/>
          <w:numId w:val="95"/>
        </w:numPr>
        <w:spacing w:after="160" w:line="259" w:lineRule="auto"/>
        <w:contextualSpacing/>
      </w:pPr>
      <w:r w:rsidRPr="00B5325D">
        <w:t>Familiarity with EU transition requirements and EDHS regulations effective as of August 2026.</w:t>
      </w:r>
    </w:p>
    <w:p w14:paraId="73E5F776" w14:textId="77777777" w:rsidR="00B5325D" w:rsidRPr="00B5325D" w:rsidRDefault="00B5325D" w:rsidP="00CE2360">
      <w:pPr>
        <w:numPr>
          <w:ilvl w:val="0"/>
          <w:numId w:val="41"/>
        </w:numPr>
        <w:spacing w:after="160" w:line="259" w:lineRule="auto"/>
      </w:pPr>
      <w:r w:rsidRPr="00B5325D">
        <w:rPr>
          <w:b/>
          <w:bCs/>
        </w:rPr>
        <w:t>Cybersecurity &amp; Data Protection Specialist</w:t>
      </w:r>
    </w:p>
    <w:p w14:paraId="5853511E" w14:textId="77777777" w:rsidR="00B5325D" w:rsidRPr="00B5325D" w:rsidRDefault="00B5325D" w:rsidP="00CE2360">
      <w:pPr>
        <w:numPr>
          <w:ilvl w:val="0"/>
          <w:numId w:val="96"/>
        </w:numPr>
        <w:spacing w:after="160" w:line="259" w:lineRule="auto"/>
        <w:contextualSpacing/>
      </w:pPr>
      <w:r w:rsidRPr="00B5325D">
        <w:t>5+ years experience with ISO 27001, GDPR and penetration testing;</w:t>
      </w:r>
    </w:p>
    <w:p w14:paraId="0F5BD16E" w14:textId="77777777" w:rsidR="00B5325D" w:rsidRPr="00B5325D" w:rsidRDefault="00B5325D" w:rsidP="00CE2360">
      <w:pPr>
        <w:numPr>
          <w:ilvl w:val="0"/>
          <w:numId w:val="96"/>
        </w:numPr>
        <w:spacing w:after="160" w:line="259" w:lineRule="auto"/>
        <w:contextualSpacing/>
      </w:pPr>
      <w:r w:rsidRPr="00B5325D">
        <w:t>Advanced knowledge of hardening, firewalls, API security and zero-trust approaches.</w:t>
      </w:r>
    </w:p>
    <w:p w14:paraId="507E2128" w14:textId="77777777" w:rsidR="00B5325D" w:rsidRPr="00B5325D" w:rsidRDefault="00B5325D" w:rsidP="00CE2360">
      <w:pPr>
        <w:numPr>
          <w:ilvl w:val="0"/>
          <w:numId w:val="96"/>
        </w:numPr>
        <w:spacing w:after="160" w:line="259" w:lineRule="auto"/>
        <w:contextualSpacing/>
      </w:pPr>
      <w:r w:rsidRPr="00B5325D">
        <w:t>Familiarity with EU transition requirements and EDHS regulations effective as of August 2026.</w:t>
      </w:r>
    </w:p>
    <w:p w14:paraId="11CADE37" w14:textId="77777777" w:rsidR="00B5325D" w:rsidRPr="00B5325D" w:rsidRDefault="00B5325D" w:rsidP="00CE2360">
      <w:pPr>
        <w:numPr>
          <w:ilvl w:val="0"/>
          <w:numId w:val="42"/>
        </w:numPr>
        <w:spacing w:after="160" w:line="259" w:lineRule="auto"/>
      </w:pPr>
      <w:r w:rsidRPr="00B5325D">
        <w:rPr>
          <w:b/>
          <w:bCs/>
        </w:rPr>
        <w:t>Local Technical Liaison / Project Manager</w:t>
      </w:r>
    </w:p>
    <w:p w14:paraId="2EBB9FED" w14:textId="77777777" w:rsidR="00B5325D" w:rsidRPr="00B5325D" w:rsidRDefault="00B5325D" w:rsidP="00CE2360">
      <w:pPr>
        <w:numPr>
          <w:ilvl w:val="0"/>
          <w:numId w:val="97"/>
        </w:numPr>
        <w:spacing w:after="160" w:line="259" w:lineRule="auto"/>
        <w:contextualSpacing/>
      </w:pPr>
      <w:r w:rsidRPr="00B5325D">
        <w:t>Proven experience in project management and coordination in health information systems.</w:t>
      </w:r>
    </w:p>
    <w:p w14:paraId="6EF3068F" w14:textId="77777777" w:rsidR="00B5325D" w:rsidRPr="00B5325D" w:rsidRDefault="00B5325D" w:rsidP="00CE2360">
      <w:pPr>
        <w:numPr>
          <w:ilvl w:val="0"/>
          <w:numId w:val="97"/>
        </w:numPr>
        <w:spacing w:after="160" w:line="259" w:lineRule="auto"/>
        <w:contextualSpacing/>
      </w:pPr>
      <w:r w:rsidRPr="00B5325D">
        <w:t>Familiarity with EU transition requirements and EDHS regulations effective as of August 2026.</w:t>
      </w:r>
    </w:p>
    <w:p w14:paraId="7C4F9661" w14:textId="77777777" w:rsidR="00B5325D" w:rsidRPr="00B5325D" w:rsidRDefault="00B5325D" w:rsidP="00CE2360">
      <w:pPr>
        <w:numPr>
          <w:ilvl w:val="0"/>
          <w:numId w:val="97"/>
        </w:numPr>
        <w:spacing w:after="160" w:line="259" w:lineRule="auto"/>
        <w:contextualSpacing/>
      </w:pPr>
      <w:r w:rsidRPr="00B5325D">
        <w:t>Strong communication and stakeholder management skills.</w:t>
      </w:r>
      <w:r w:rsidRPr="00B5325D" w:rsidDel="00B160C5">
        <w:t xml:space="preserve"> </w:t>
      </w:r>
    </w:p>
    <w:p w14:paraId="1448FFF3" w14:textId="77777777" w:rsidR="00B5325D" w:rsidRPr="00B5325D" w:rsidRDefault="00B5325D" w:rsidP="00CE2360">
      <w:pPr>
        <w:numPr>
          <w:ilvl w:val="0"/>
          <w:numId w:val="97"/>
        </w:numPr>
        <w:spacing w:after="160" w:line="259" w:lineRule="auto"/>
        <w:contextualSpacing/>
      </w:pPr>
      <w:r w:rsidRPr="00B5325D">
        <w:t>Actively coordinate with DSISH, vendors, and SDHP team.</w:t>
      </w:r>
    </w:p>
    <w:p w14:paraId="4F8FD8BB" w14:textId="77777777" w:rsidR="00B5325D" w:rsidRPr="00B5325D" w:rsidRDefault="00B5325D" w:rsidP="00CE2360">
      <w:pPr>
        <w:numPr>
          <w:ilvl w:val="0"/>
          <w:numId w:val="97"/>
        </w:numPr>
        <w:spacing w:after="160" w:line="259" w:lineRule="auto"/>
        <w:contextualSpacing/>
      </w:pPr>
      <w:r w:rsidRPr="00B5325D">
        <w:t>Participate in quality assurance (QA), system testing, validation, and monthly reporting.</w:t>
      </w:r>
    </w:p>
    <w:p w14:paraId="5C7A5466" w14:textId="77777777" w:rsidR="00B5325D" w:rsidRPr="00B5325D" w:rsidRDefault="00B5325D" w:rsidP="00B5325D">
      <w:pPr>
        <w:rPr>
          <w:b/>
          <w:bCs/>
        </w:rPr>
      </w:pPr>
      <w:r w:rsidRPr="00B5325D">
        <w:t>Support smooth implementation and integration of IHIS components at local level.</w:t>
      </w:r>
      <w:r w:rsidRPr="00B5325D" w:rsidDel="00B160C5">
        <w:t xml:space="preserve"> </w:t>
      </w:r>
      <w:r w:rsidRPr="00B5325D">
        <w:rPr>
          <w:b/>
          <w:bCs/>
        </w:rPr>
        <w:t>5.3 Compliance with World Bank Procurement Regulations</w:t>
      </w:r>
    </w:p>
    <w:p w14:paraId="5C04BE6B" w14:textId="77777777" w:rsidR="00B5325D" w:rsidRPr="00B5325D" w:rsidRDefault="00B5325D" w:rsidP="00CE2360">
      <w:pPr>
        <w:numPr>
          <w:ilvl w:val="0"/>
          <w:numId w:val="43"/>
        </w:numPr>
        <w:spacing w:after="160" w:line="259" w:lineRule="auto"/>
      </w:pPr>
      <w:r w:rsidRPr="00B5325D">
        <w:t xml:space="preserve">The SDHP and its team must comply fully with </w:t>
      </w:r>
      <w:r w:rsidRPr="00B5325D">
        <w:rPr>
          <w:b/>
          <w:bCs/>
        </w:rPr>
        <w:t>World Bank Procurement Regulations for IPF Borrowers</w:t>
      </w:r>
      <w:r w:rsidRPr="00B5325D">
        <w:t>, including:</w:t>
      </w:r>
    </w:p>
    <w:p w14:paraId="3D0A0841" w14:textId="77777777" w:rsidR="00B5325D" w:rsidRPr="00B5325D" w:rsidRDefault="00B5325D" w:rsidP="00CE2360">
      <w:pPr>
        <w:numPr>
          <w:ilvl w:val="1"/>
          <w:numId w:val="98"/>
        </w:numPr>
        <w:spacing w:after="160" w:line="259" w:lineRule="auto"/>
        <w:contextualSpacing/>
      </w:pPr>
      <w:r w:rsidRPr="00B5325D">
        <w:t>No conflict of interest;</w:t>
      </w:r>
    </w:p>
    <w:p w14:paraId="44EB8958" w14:textId="77777777" w:rsidR="00B5325D" w:rsidRPr="00B5325D" w:rsidRDefault="00B5325D" w:rsidP="00CE2360">
      <w:pPr>
        <w:numPr>
          <w:ilvl w:val="1"/>
          <w:numId w:val="98"/>
        </w:numPr>
        <w:spacing w:after="160" w:line="259" w:lineRule="auto"/>
        <w:contextualSpacing/>
      </w:pPr>
      <w:r w:rsidRPr="00B5325D">
        <w:t>Full independence from implementation bidders and vendors;</w:t>
      </w:r>
    </w:p>
    <w:p w14:paraId="1B00C5BE" w14:textId="77777777" w:rsidR="00B5325D" w:rsidRPr="00B5325D" w:rsidRDefault="00B5325D" w:rsidP="00CE2360">
      <w:pPr>
        <w:numPr>
          <w:ilvl w:val="1"/>
          <w:numId w:val="98"/>
        </w:numPr>
        <w:spacing w:after="160" w:line="259" w:lineRule="auto"/>
        <w:contextualSpacing/>
      </w:pPr>
      <w:r w:rsidRPr="00B5325D">
        <w:t>Deliverable-based payment structure;</w:t>
      </w:r>
    </w:p>
    <w:p w14:paraId="07AEDC86" w14:textId="77777777" w:rsidR="00B5325D" w:rsidRPr="00B5325D" w:rsidRDefault="00B5325D" w:rsidP="00CE2360">
      <w:pPr>
        <w:numPr>
          <w:ilvl w:val="1"/>
          <w:numId w:val="98"/>
        </w:numPr>
        <w:spacing w:after="160" w:line="259" w:lineRule="auto"/>
        <w:contextualSpacing/>
      </w:pPr>
      <w:r w:rsidRPr="00B5325D">
        <w:t>Transparent, auditable technical reporting;</w:t>
      </w:r>
    </w:p>
    <w:p w14:paraId="5A4EB3A1" w14:textId="77777777" w:rsidR="00B5325D" w:rsidRPr="00B5325D" w:rsidRDefault="00B5325D" w:rsidP="00CE2360">
      <w:pPr>
        <w:numPr>
          <w:ilvl w:val="1"/>
          <w:numId w:val="98"/>
        </w:numPr>
        <w:spacing w:after="160" w:line="259" w:lineRule="auto"/>
        <w:contextualSpacing/>
      </w:pPr>
      <w:r w:rsidRPr="00B5325D">
        <w:t>Independent verification of vendor outputs.</w:t>
      </w:r>
    </w:p>
    <w:p w14:paraId="184E151C" w14:textId="77777777" w:rsidR="00B5325D" w:rsidRPr="00B5325D" w:rsidRDefault="00B5325D" w:rsidP="00B5325D">
      <w:pPr>
        <w:rPr>
          <w:b/>
          <w:bCs/>
        </w:rPr>
      </w:pPr>
      <w:r w:rsidRPr="00B5325D">
        <w:rPr>
          <w:b/>
          <w:bCs/>
        </w:rPr>
        <w:t>5.4 Conflict of Interest Safeguards</w:t>
      </w:r>
    </w:p>
    <w:p w14:paraId="068CA30D" w14:textId="77777777" w:rsidR="00B5325D" w:rsidRPr="00B5325D" w:rsidRDefault="00B5325D" w:rsidP="00CE2360">
      <w:pPr>
        <w:numPr>
          <w:ilvl w:val="0"/>
          <w:numId w:val="44"/>
        </w:numPr>
        <w:spacing w:after="160" w:line="259" w:lineRule="auto"/>
      </w:pPr>
      <w:r w:rsidRPr="00B5325D">
        <w:t>To ensure integrity:</w:t>
      </w:r>
    </w:p>
    <w:p w14:paraId="5C57CEF6" w14:textId="77777777" w:rsidR="00B5325D" w:rsidRPr="00B5325D" w:rsidRDefault="00B5325D" w:rsidP="00CE2360">
      <w:pPr>
        <w:numPr>
          <w:ilvl w:val="1"/>
          <w:numId w:val="99"/>
        </w:numPr>
        <w:spacing w:after="160" w:line="259" w:lineRule="auto"/>
        <w:contextualSpacing/>
      </w:pPr>
      <w:r w:rsidRPr="00B5325D">
        <w:t>No expert may be affiliated with companies that participate in IHIS tenders;</w:t>
      </w:r>
    </w:p>
    <w:p w14:paraId="2FAB97C6" w14:textId="77777777" w:rsidR="00B5325D" w:rsidRPr="00B5325D" w:rsidRDefault="00B5325D" w:rsidP="00CE2360">
      <w:pPr>
        <w:numPr>
          <w:ilvl w:val="1"/>
          <w:numId w:val="99"/>
        </w:numPr>
        <w:spacing w:after="160" w:line="259" w:lineRule="auto"/>
        <w:contextualSpacing/>
      </w:pPr>
      <w:r w:rsidRPr="00B5325D">
        <w:t>Formal declarations of independence must be signed;</w:t>
      </w:r>
    </w:p>
    <w:p w14:paraId="64EA49B0" w14:textId="77777777" w:rsidR="00B5325D" w:rsidRPr="00B5325D" w:rsidRDefault="00B5325D" w:rsidP="00CE2360">
      <w:pPr>
        <w:numPr>
          <w:ilvl w:val="1"/>
          <w:numId w:val="99"/>
        </w:numPr>
        <w:spacing w:after="160" w:line="259" w:lineRule="auto"/>
        <w:contextualSpacing/>
      </w:pPr>
      <w:r w:rsidRPr="00B5325D">
        <w:t>Any potential conflict must be reported immediately;</w:t>
      </w:r>
    </w:p>
    <w:p w14:paraId="0B19DF13" w14:textId="77777777" w:rsidR="00B5325D" w:rsidRPr="00B5325D" w:rsidRDefault="00B5325D" w:rsidP="00CE2360">
      <w:pPr>
        <w:numPr>
          <w:ilvl w:val="1"/>
          <w:numId w:val="99"/>
        </w:numPr>
        <w:spacing w:after="160" w:line="259" w:lineRule="auto"/>
        <w:contextualSpacing/>
      </w:pPr>
      <w:r w:rsidRPr="00B5325D">
        <w:t>Experts involved in preparing specifications cannot participate in implementation tenders.</w:t>
      </w:r>
    </w:p>
    <w:p w14:paraId="7A8F9239" w14:textId="77777777" w:rsidR="00B5325D" w:rsidRPr="00B5325D" w:rsidRDefault="00B5325D" w:rsidP="00B5325D">
      <w:pPr>
        <w:rPr>
          <w:b/>
          <w:bCs/>
        </w:rPr>
      </w:pPr>
      <w:r w:rsidRPr="00B5325D">
        <w:rPr>
          <w:b/>
          <w:bCs/>
        </w:rPr>
        <w:t>5.5 Replacement of Key Experts</w:t>
      </w:r>
    </w:p>
    <w:p w14:paraId="70E988FE" w14:textId="77777777" w:rsidR="00B5325D" w:rsidRPr="00B5325D" w:rsidRDefault="00B5325D" w:rsidP="00CE2360">
      <w:pPr>
        <w:numPr>
          <w:ilvl w:val="0"/>
          <w:numId w:val="45"/>
        </w:numPr>
        <w:spacing w:after="160" w:line="259" w:lineRule="auto"/>
      </w:pPr>
      <w:r w:rsidRPr="00B5325D">
        <w:t>Replacement of key experts is allowed only in cases of:</w:t>
      </w:r>
    </w:p>
    <w:p w14:paraId="4A3974E1" w14:textId="77777777" w:rsidR="00B5325D" w:rsidRPr="00B5325D" w:rsidRDefault="00B5325D" w:rsidP="00CE2360">
      <w:pPr>
        <w:numPr>
          <w:ilvl w:val="1"/>
          <w:numId w:val="100"/>
        </w:numPr>
        <w:spacing w:after="160" w:line="259" w:lineRule="auto"/>
        <w:contextualSpacing/>
      </w:pPr>
      <w:r w:rsidRPr="00B5325D">
        <w:t>Illness or unforeseen circumstances;</w:t>
      </w:r>
    </w:p>
    <w:p w14:paraId="1945B847" w14:textId="77777777" w:rsidR="00B5325D" w:rsidRPr="00B5325D" w:rsidRDefault="00B5325D" w:rsidP="00CE2360">
      <w:pPr>
        <w:numPr>
          <w:ilvl w:val="1"/>
          <w:numId w:val="100"/>
        </w:numPr>
        <w:spacing w:after="160" w:line="259" w:lineRule="auto"/>
        <w:contextualSpacing/>
      </w:pPr>
      <w:r w:rsidRPr="00B5325D">
        <w:t>Unavoidable departure.</w:t>
      </w:r>
    </w:p>
    <w:p w14:paraId="22BB3BC9" w14:textId="77777777" w:rsidR="00B5325D" w:rsidRPr="00B5325D" w:rsidRDefault="00B5325D" w:rsidP="00CE2360">
      <w:pPr>
        <w:numPr>
          <w:ilvl w:val="0"/>
          <w:numId w:val="45"/>
        </w:numPr>
        <w:spacing w:after="160" w:line="259" w:lineRule="auto"/>
      </w:pPr>
      <w:r w:rsidRPr="00B5325D">
        <w:lastRenderedPageBreak/>
        <w:t>Replacement experts must:</w:t>
      </w:r>
    </w:p>
    <w:p w14:paraId="03F14625" w14:textId="77777777" w:rsidR="00B5325D" w:rsidRPr="00B5325D" w:rsidRDefault="00B5325D" w:rsidP="00CE2360">
      <w:pPr>
        <w:numPr>
          <w:ilvl w:val="1"/>
          <w:numId w:val="101"/>
        </w:numPr>
        <w:spacing w:after="160" w:line="259" w:lineRule="auto"/>
        <w:contextualSpacing/>
      </w:pPr>
      <w:r w:rsidRPr="00B5325D">
        <w:t>Have equal or higher qualifications;</w:t>
      </w:r>
    </w:p>
    <w:p w14:paraId="5A1CAECA" w14:textId="77777777" w:rsidR="00B5325D" w:rsidRPr="00B5325D" w:rsidRDefault="00B5325D" w:rsidP="00CE2360">
      <w:pPr>
        <w:numPr>
          <w:ilvl w:val="1"/>
          <w:numId w:val="101"/>
        </w:numPr>
        <w:spacing w:after="160" w:line="259" w:lineRule="auto"/>
        <w:contextualSpacing/>
      </w:pPr>
      <w:r w:rsidRPr="00B5325D">
        <w:t>Possess documented relevant experience;</w:t>
      </w:r>
    </w:p>
    <w:p w14:paraId="196A61D0" w14:textId="77777777" w:rsidR="00B5325D" w:rsidRPr="00B5325D" w:rsidRDefault="00B5325D" w:rsidP="00CE2360">
      <w:pPr>
        <w:numPr>
          <w:ilvl w:val="1"/>
          <w:numId w:val="101"/>
        </w:numPr>
        <w:spacing w:after="160" w:line="259" w:lineRule="auto"/>
        <w:contextualSpacing/>
      </w:pPr>
      <w:r w:rsidRPr="00B5325D">
        <w:t>Be able to assume responsibilities immediately.</w:t>
      </w:r>
    </w:p>
    <w:p w14:paraId="213727A8" w14:textId="77777777" w:rsidR="00B5325D" w:rsidRPr="00B5325D" w:rsidRDefault="00B5325D" w:rsidP="00CE2360">
      <w:pPr>
        <w:numPr>
          <w:ilvl w:val="0"/>
          <w:numId w:val="45"/>
        </w:numPr>
        <w:spacing w:after="160" w:line="259" w:lineRule="auto"/>
      </w:pPr>
      <w:r w:rsidRPr="00B5325D">
        <w:t>Any replacement is subject to approval by PIU and, where required, by the World Bank.</w:t>
      </w:r>
    </w:p>
    <w:p w14:paraId="5BF90942" w14:textId="77777777" w:rsidR="00B5325D" w:rsidRPr="00B5325D" w:rsidRDefault="00B5325D" w:rsidP="00B5325D">
      <w:pPr>
        <w:rPr>
          <w:b/>
          <w:bCs/>
        </w:rPr>
      </w:pPr>
    </w:p>
    <w:p w14:paraId="7BE50FC6" w14:textId="77777777" w:rsidR="00B5325D" w:rsidRPr="00B5325D" w:rsidRDefault="00B5325D" w:rsidP="00B5325D">
      <w:pPr>
        <w:spacing w:after="120"/>
        <w:rPr>
          <w:b/>
          <w:bCs/>
        </w:rPr>
      </w:pPr>
      <w:r w:rsidRPr="00B5325D">
        <w:rPr>
          <w:b/>
          <w:bCs/>
        </w:rPr>
        <w:t>6. DELIVERABLES, REPORTING, GOVERNANCE MODEL, PAYMENT SCHEDULE</w:t>
      </w:r>
    </w:p>
    <w:p w14:paraId="1D9B273A" w14:textId="77777777" w:rsidR="00B5325D" w:rsidRPr="00B5325D" w:rsidRDefault="00B5325D" w:rsidP="00B5325D">
      <w:pPr>
        <w:rPr>
          <w:b/>
          <w:bCs/>
        </w:rPr>
      </w:pPr>
      <w:r w:rsidRPr="00B5325D">
        <w:rPr>
          <w:b/>
          <w:bCs/>
        </w:rPr>
        <w:t>6.1 Deliverables</w:t>
      </w:r>
    </w:p>
    <w:p w14:paraId="643C9F21" w14:textId="77777777" w:rsidR="00B5325D" w:rsidRPr="00B5325D" w:rsidRDefault="00B5325D" w:rsidP="00CE2360">
      <w:pPr>
        <w:numPr>
          <w:ilvl w:val="0"/>
          <w:numId w:val="46"/>
        </w:numPr>
        <w:spacing w:after="160" w:line="259" w:lineRule="auto"/>
      </w:pPr>
      <w:r w:rsidRPr="00B5325D">
        <w:t>Expected deliverables include, but are not limited to:</w:t>
      </w:r>
    </w:p>
    <w:p w14:paraId="04B1A4A3" w14:textId="77777777" w:rsidR="00B5325D" w:rsidRPr="00B5325D" w:rsidRDefault="00B5325D" w:rsidP="00CE2360">
      <w:pPr>
        <w:numPr>
          <w:ilvl w:val="1"/>
          <w:numId w:val="102"/>
        </w:numPr>
        <w:spacing w:after="160" w:line="259" w:lineRule="auto"/>
        <w:contextualSpacing/>
      </w:pPr>
      <w:r w:rsidRPr="00B5325D">
        <w:t>Inception Report (structure, work plan, initial risk register);</w:t>
      </w:r>
    </w:p>
    <w:p w14:paraId="2E05A70E" w14:textId="77777777" w:rsidR="00B5325D" w:rsidRPr="00B5325D" w:rsidRDefault="00B5325D" w:rsidP="00CE2360">
      <w:pPr>
        <w:numPr>
          <w:ilvl w:val="1"/>
          <w:numId w:val="102"/>
        </w:numPr>
        <w:spacing w:after="160" w:line="259" w:lineRule="auto"/>
        <w:contextualSpacing/>
      </w:pPr>
      <w:r w:rsidRPr="00B5325D">
        <w:t>Monthly Technical Oversight Reports;</w:t>
      </w:r>
    </w:p>
    <w:p w14:paraId="29E69383" w14:textId="77777777" w:rsidR="00B5325D" w:rsidRPr="00B5325D" w:rsidRDefault="00B5325D" w:rsidP="00CE2360">
      <w:pPr>
        <w:numPr>
          <w:ilvl w:val="1"/>
          <w:numId w:val="102"/>
        </w:numPr>
        <w:spacing w:after="160" w:line="259" w:lineRule="auto"/>
        <w:contextualSpacing/>
      </w:pPr>
      <w:r w:rsidRPr="00B5325D">
        <w:t>Quarterly Interoperability &amp; Conformance Reports;</w:t>
      </w:r>
    </w:p>
    <w:p w14:paraId="0DB5D0C0" w14:textId="77777777" w:rsidR="00B5325D" w:rsidRPr="00B5325D" w:rsidRDefault="00B5325D" w:rsidP="00CE2360">
      <w:pPr>
        <w:numPr>
          <w:ilvl w:val="1"/>
          <w:numId w:val="102"/>
        </w:numPr>
        <w:spacing w:after="160" w:line="259" w:lineRule="auto"/>
        <w:contextualSpacing/>
      </w:pPr>
      <w:r w:rsidRPr="00B5325D">
        <w:t>Technical Acceptance Reports for each implementation phase;</w:t>
      </w:r>
    </w:p>
    <w:p w14:paraId="13160628" w14:textId="77777777" w:rsidR="00B5325D" w:rsidRPr="00B5325D" w:rsidRDefault="00B5325D" w:rsidP="00CE2360">
      <w:pPr>
        <w:numPr>
          <w:ilvl w:val="1"/>
          <w:numId w:val="102"/>
        </w:numPr>
        <w:spacing w:after="160" w:line="259" w:lineRule="auto"/>
        <w:contextualSpacing/>
      </w:pPr>
      <w:r w:rsidRPr="00B5325D">
        <w:t>FHIR Implementation Guides (IGs) and localized IHE Profiles;</w:t>
      </w:r>
    </w:p>
    <w:p w14:paraId="4EF6ED0B" w14:textId="77777777" w:rsidR="00B5325D" w:rsidRPr="00B5325D" w:rsidRDefault="00B5325D" w:rsidP="00CE2360">
      <w:pPr>
        <w:numPr>
          <w:ilvl w:val="1"/>
          <w:numId w:val="102"/>
        </w:numPr>
        <w:spacing w:after="160" w:line="259" w:lineRule="auto"/>
        <w:contextualSpacing/>
      </w:pPr>
      <w:r w:rsidRPr="00B5325D">
        <w:t>Quality Assurance Plan and Quality Control Validation Reports;</w:t>
      </w:r>
    </w:p>
    <w:p w14:paraId="71F0A7E5" w14:textId="77777777" w:rsidR="00B5325D" w:rsidRPr="00B5325D" w:rsidRDefault="00B5325D" w:rsidP="00CE2360">
      <w:pPr>
        <w:numPr>
          <w:ilvl w:val="1"/>
          <w:numId w:val="102"/>
        </w:numPr>
        <w:spacing w:after="160" w:line="259" w:lineRule="auto"/>
        <w:contextualSpacing/>
      </w:pPr>
      <w:r w:rsidRPr="00B5325D">
        <w:t>Updated Risk Register;</w:t>
      </w:r>
    </w:p>
    <w:p w14:paraId="3865E16C" w14:textId="77777777" w:rsidR="00B5325D" w:rsidRPr="00B5325D" w:rsidRDefault="00B5325D" w:rsidP="00CE2360">
      <w:pPr>
        <w:numPr>
          <w:ilvl w:val="1"/>
          <w:numId w:val="102"/>
        </w:numPr>
        <w:spacing w:after="160" w:line="259" w:lineRule="auto"/>
        <w:contextualSpacing/>
      </w:pPr>
      <w:r w:rsidRPr="00B5325D">
        <w:t>Data Governance &amp; Standards Alignment Report;</w:t>
      </w:r>
    </w:p>
    <w:p w14:paraId="3785AEFF" w14:textId="77777777" w:rsidR="00B5325D" w:rsidRPr="00B5325D" w:rsidRDefault="00B5325D" w:rsidP="00CE2360">
      <w:pPr>
        <w:numPr>
          <w:ilvl w:val="1"/>
          <w:numId w:val="102"/>
        </w:numPr>
        <w:spacing w:after="160" w:line="259" w:lineRule="auto"/>
        <w:contextualSpacing/>
      </w:pPr>
      <w:r w:rsidRPr="00B5325D">
        <w:t>Change Management Strategy and supporting materials;</w:t>
      </w:r>
    </w:p>
    <w:p w14:paraId="1E974069" w14:textId="77777777" w:rsidR="00B5325D" w:rsidRPr="00B5325D" w:rsidRDefault="00B5325D" w:rsidP="00CE2360">
      <w:pPr>
        <w:numPr>
          <w:ilvl w:val="1"/>
          <w:numId w:val="102"/>
        </w:numPr>
        <w:spacing w:after="160" w:line="259" w:lineRule="auto"/>
        <w:contextualSpacing/>
      </w:pPr>
      <w:r w:rsidRPr="00B5325D">
        <w:t>Training materials and Knowledge Transfer Documentation;</w:t>
      </w:r>
    </w:p>
    <w:p w14:paraId="2B8EB278" w14:textId="77777777" w:rsidR="00B5325D" w:rsidRPr="00B5325D" w:rsidRDefault="00B5325D" w:rsidP="00CE2360">
      <w:pPr>
        <w:numPr>
          <w:ilvl w:val="1"/>
          <w:numId w:val="102"/>
        </w:numPr>
        <w:spacing w:after="160" w:line="259" w:lineRule="auto"/>
        <w:contextualSpacing/>
      </w:pPr>
      <w:r w:rsidRPr="00B5325D">
        <w:t>Final Project Closure &amp; Sustainability Report.</w:t>
      </w:r>
    </w:p>
    <w:p w14:paraId="1C617386" w14:textId="77777777" w:rsidR="00B5325D" w:rsidRPr="00B5325D" w:rsidRDefault="00B5325D" w:rsidP="00B5325D">
      <w:pPr>
        <w:rPr>
          <w:b/>
          <w:bCs/>
        </w:rPr>
      </w:pPr>
      <w:r w:rsidRPr="00B5325D">
        <w:rPr>
          <w:b/>
          <w:bCs/>
        </w:rPr>
        <w:t>6.2 Reporting Requirements</w:t>
      </w:r>
    </w:p>
    <w:p w14:paraId="61998B8F" w14:textId="77777777" w:rsidR="00B5325D" w:rsidRPr="00B5325D" w:rsidRDefault="00B5325D" w:rsidP="00CE2360">
      <w:pPr>
        <w:numPr>
          <w:ilvl w:val="0"/>
          <w:numId w:val="47"/>
        </w:numPr>
        <w:spacing w:after="160" w:line="259" w:lineRule="auto"/>
      </w:pPr>
      <w:r w:rsidRPr="00B5325D">
        <w:t>The SDHP will report regularly to MoH/DSISH, MDPA and PIU:</w:t>
      </w:r>
    </w:p>
    <w:p w14:paraId="5A8BC969" w14:textId="77777777" w:rsidR="00B5325D" w:rsidRPr="00B5325D" w:rsidRDefault="00B5325D" w:rsidP="00CE2360">
      <w:pPr>
        <w:numPr>
          <w:ilvl w:val="1"/>
          <w:numId w:val="103"/>
        </w:numPr>
        <w:spacing w:after="160" w:line="259" w:lineRule="auto"/>
        <w:contextualSpacing/>
      </w:pPr>
      <w:r w:rsidRPr="00B5325D">
        <w:rPr>
          <w:b/>
          <w:bCs/>
        </w:rPr>
        <w:t>Monthly reports</w:t>
      </w:r>
      <w:r w:rsidRPr="00B5325D">
        <w:t xml:space="preserve"> – QA/QC, SLA monitoring, technical progress, deviations;</w:t>
      </w:r>
    </w:p>
    <w:p w14:paraId="3FBAA087" w14:textId="77777777" w:rsidR="00B5325D" w:rsidRPr="00B5325D" w:rsidRDefault="00B5325D" w:rsidP="00CE2360">
      <w:pPr>
        <w:numPr>
          <w:ilvl w:val="1"/>
          <w:numId w:val="103"/>
        </w:numPr>
        <w:spacing w:after="160" w:line="259" w:lineRule="auto"/>
        <w:contextualSpacing/>
      </w:pPr>
      <w:r w:rsidRPr="00B5325D">
        <w:rPr>
          <w:b/>
          <w:bCs/>
        </w:rPr>
        <w:t>Quarterly reports</w:t>
      </w:r>
      <w:r w:rsidRPr="00B5325D">
        <w:t xml:space="preserve"> – interoperability, certification, risk register, IHIS maturity;</w:t>
      </w:r>
    </w:p>
    <w:p w14:paraId="75AD3DA5" w14:textId="77777777" w:rsidR="00B5325D" w:rsidRPr="00B5325D" w:rsidRDefault="00B5325D" w:rsidP="00CE2360">
      <w:pPr>
        <w:numPr>
          <w:ilvl w:val="1"/>
          <w:numId w:val="103"/>
        </w:numPr>
        <w:spacing w:after="160" w:line="259" w:lineRule="auto"/>
        <w:contextualSpacing/>
      </w:pPr>
      <w:r w:rsidRPr="00B5325D">
        <w:rPr>
          <w:b/>
          <w:bCs/>
        </w:rPr>
        <w:t>Ad-hoc reports</w:t>
      </w:r>
      <w:r w:rsidRPr="00B5325D">
        <w:t xml:space="preserve"> – major incidents, significant deviations, high-impact CRs;</w:t>
      </w:r>
    </w:p>
    <w:p w14:paraId="1222E4A5" w14:textId="77777777" w:rsidR="00B5325D" w:rsidRPr="00B5325D" w:rsidRDefault="00B5325D" w:rsidP="00CE2360">
      <w:pPr>
        <w:numPr>
          <w:ilvl w:val="1"/>
          <w:numId w:val="103"/>
        </w:numPr>
        <w:spacing w:after="160" w:line="259" w:lineRule="auto"/>
        <w:contextualSpacing/>
      </w:pPr>
      <w:r w:rsidRPr="00B5325D">
        <w:rPr>
          <w:b/>
          <w:bCs/>
        </w:rPr>
        <w:t>Annual reports</w:t>
      </w:r>
      <w:r w:rsidRPr="00B5325D">
        <w:t xml:space="preserve"> – maturity analysis, progress and strategic recommendations.</w:t>
      </w:r>
    </w:p>
    <w:p w14:paraId="5FAA519A" w14:textId="77777777" w:rsidR="00B5325D" w:rsidRPr="00B5325D" w:rsidRDefault="00B5325D" w:rsidP="00CE2360">
      <w:pPr>
        <w:numPr>
          <w:ilvl w:val="0"/>
          <w:numId w:val="47"/>
        </w:numPr>
        <w:spacing w:after="160" w:line="259" w:lineRule="auto"/>
      </w:pPr>
      <w:r w:rsidRPr="00B5325D">
        <w:t>All reports shall be provided in Word and PDF formats, according to PIU and World Bank requirements. Monthly Technical Oversight Reports constitute a mandatory reporting obligation under the Contract and are not linked to payments.</w:t>
      </w:r>
    </w:p>
    <w:p w14:paraId="24095B9C" w14:textId="77777777" w:rsidR="00B5325D" w:rsidRPr="00B5325D" w:rsidRDefault="00B5325D" w:rsidP="00B5325D">
      <w:pPr>
        <w:rPr>
          <w:b/>
          <w:bCs/>
        </w:rPr>
      </w:pPr>
      <w:r w:rsidRPr="00B5325D">
        <w:rPr>
          <w:b/>
          <w:bCs/>
        </w:rPr>
        <w:t>6.3 Governance Model</w:t>
      </w:r>
    </w:p>
    <w:p w14:paraId="160C4146" w14:textId="77777777" w:rsidR="00B5325D" w:rsidRPr="00B5325D" w:rsidRDefault="00B5325D" w:rsidP="00CE2360">
      <w:pPr>
        <w:numPr>
          <w:ilvl w:val="0"/>
          <w:numId w:val="48"/>
        </w:numPr>
        <w:spacing w:after="160" w:line="259" w:lineRule="auto"/>
      </w:pPr>
      <w:r w:rsidRPr="00B5325D">
        <w:t>The governance model consists of four levels:</w:t>
      </w:r>
    </w:p>
    <w:p w14:paraId="6F30C67C" w14:textId="77777777" w:rsidR="00B5325D" w:rsidRPr="00B5325D" w:rsidRDefault="00B5325D" w:rsidP="00CE2360">
      <w:pPr>
        <w:numPr>
          <w:ilvl w:val="0"/>
          <w:numId w:val="49"/>
        </w:numPr>
        <w:spacing w:after="160" w:line="259" w:lineRule="auto"/>
      </w:pPr>
      <w:r w:rsidRPr="00B5325D">
        <w:rPr>
          <w:b/>
          <w:bCs/>
        </w:rPr>
        <w:t>Level 1 – PIU</w:t>
      </w:r>
      <w:r w:rsidRPr="00B5325D">
        <w:br/>
        <w:t>• Overall oversight and final decision on deliverables;</w:t>
      </w:r>
      <w:r w:rsidRPr="00B5325D">
        <w:br/>
        <w:t>• Communication with the World Bank;</w:t>
      </w:r>
      <w:r w:rsidRPr="00B5325D">
        <w:br/>
        <w:t>• Contract and financial management.</w:t>
      </w:r>
    </w:p>
    <w:p w14:paraId="3D3B7BC2" w14:textId="77777777" w:rsidR="00B5325D" w:rsidRPr="00B5325D" w:rsidRDefault="00B5325D" w:rsidP="00CE2360">
      <w:pPr>
        <w:numPr>
          <w:ilvl w:val="0"/>
          <w:numId w:val="49"/>
        </w:numPr>
        <w:spacing w:after="160" w:line="259" w:lineRule="auto"/>
      </w:pPr>
      <w:r w:rsidRPr="00B5325D">
        <w:rPr>
          <w:b/>
          <w:bCs/>
        </w:rPr>
        <w:t>Level 2 – DSISH / MoH and MDPA</w:t>
      </w:r>
      <w:r w:rsidRPr="00B5325D">
        <w:br/>
        <w:t>• Technical leadership and strategic coordination;</w:t>
      </w:r>
      <w:r w:rsidRPr="00B5325D">
        <w:br/>
        <w:t>• Approval of technical specifications;</w:t>
      </w:r>
      <w:r w:rsidRPr="00B5325D">
        <w:br/>
      </w:r>
      <w:r w:rsidRPr="00B5325D">
        <w:lastRenderedPageBreak/>
        <w:t>• Validation of architecture and standards;</w:t>
      </w:r>
      <w:r w:rsidRPr="00B5325D">
        <w:br/>
        <w:t>• Participation in testing and QA/QC.</w:t>
      </w:r>
    </w:p>
    <w:p w14:paraId="2E078CEE" w14:textId="77777777" w:rsidR="00B5325D" w:rsidRPr="00B5325D" w:rsidRDefault="00B5325D" w:rsidP="00CE2360">
      <w:pPr>
        <w:numPr>
          <w:ilvl w:val="0"/>
          <w:numId w:val="49"/>
        </w:numPr>
        <w:spacing w:after="160" w:line="259" w:lineRule="auto"/>
      </w:pPr>
      <w:r w:rsidRPr="00B5325D">
        <w:rPr>
          <w:b/>
          <w:bCs/>
        </w:rPr>
        <w:t>Level 3 – SDHP</w:t>
      </w:r>
      <w:r w:rsidRPr="00B5325D">
        <w:br/>
        <w:t>• Technical advisory;</w:t>
      </w:r>
      <w:r w:rsidRPr="00B5325D">
        <w:br/>
        <w:t>• Technical oversight of vendors;</w:t>
      </w:r>
      <w:r w:rsidRPr="00B5325D">
        <w:br/>
        <w:t>• QA/QC and interoperability testing support;</w:t>
      </w:r>
      <w:r w:rsidRPr="00B5325D">
        <w:br/>
        <w:t>• Drafting technical documents;</w:t>
      </w:r>
      <w:r w:rsidRPr="00B5325D">
        <w:br/>
        <w:t>• Training and capacity building.</w:t>
      </w:r>
    </w:p>
    <w:p w14:paraId="72B65CED" w14:textId="77777777" w:rsidR="00B5325D" w:rsidRPr="00B5325D" w:rsidRDefault="00B5325D" w:rsidP="00CE2360">
      <w:pPr>
        <w:numPr>
          <w:ilvl w:val="0"/>
          <w:numId w:val="49"/>
        </w:numPr>
        <w:spacing w:after="160" w:line="259" w:lineRule="auto"/>
      </w:pPr>
      <w:r w:rsidRPr="00B5325D">
        <w:rPr>
          <w:b/>
          <w:bCs/>
        </w:rPr>
        <w:t>Level 4 – Implementation Vendors</w:t>
      </w:r>
      <w:r w:rsidRPr="00B5325D">
        <w:br/>
        <w:t>• Solution development;</w:t>
      </w:r>
      <w:r w:rsidRPr="00B5325D">
        <w:br/>
        <w:t>• Technical and functional testing;</w:t>
      </w:r>
      <w:r w:rsidRPr="00B5325D">
        <w:br/>
        <w:t>• Implementation of QA/QC recommendations.</w:t>
      </w:r>
    </w:p>
    <w:p w14:paraId="5917E177" w14:textId="77777777" w:rsidR="00B5325D" w:rsidRPr="00B5325D" w:rsidRDefault="00B5325D" w:rsidP="00B5325D">
      <w:pPr>
        <w:rPr>
          <w:b/>
          <w:bCs/>
        </w:rPr>
      </w:pPr>
      <w:r w:rsidRPr="00B5325D">
        <w:rPr>
          <w:b/>
          <w:bCs/>
        </w:rPr>
        <w:t>6.4 Payment Schedule (Deliverable-Based)</w:t>
      </w:r>
    </w:p>
    <w:p w14:paraId="04316554" w14:textId="77777777" w:rsidR="00B5325D" w:rsidRPr="00B5325D" w:rsidRDefault="00B5325D" w:rsidP="00B5325D">
      <w:r w:rsidRPr="00B5325D">
        <w:t>A. General Provisions</w:t>
      </w:r>
    </w:p>
    <w:p w14:paraId="76090BD9" w14:textId="77777777" w:rsidR="00B5325D" w:rsidRPr="00B5325D" w:rsidRDefault="00B5325D" w:rsidP="00CE2360">
      <w:pPr>
        <w:numPr>
          <w:ilvl w:val="0"/>
          <w:numId w:val="111"/>
        </w:numPr>
      </w:pPr>
      <w:r w:rsidRPr="00B5325D">
        <w:t>Payments under this Contract shall be made on a lump-sum, milestone-based basis, against the satisfactory completion and acceptance of deliverables defined in this Annex.</w:t>
      </w:r>
    </w:p>
    <w:p w14:paraId="541876D9" w14:textId="77777777" w:rsidR="00B5325D" w:rsidRPr="00B5325D" w:rsidRDefault="00B5325D" w:rsidP="00CE2360">
      <w:pPr>
        <w:numPr>
          <w:ilvl w:val="0"/>
          <w:numId w:val="111"/>
        </w:numPr>
      </w:pPr>
      <w:r w:rsidRPr="00B5325D">
        <w:t>Payments are not linked to staff time, level of effort, or inputs, but exclusively to accepted outputs.</w:t>
      </w:r>
    </w:p>
    <w:p w14:paraId="499435C7" w14:textId="77777777" w:rsidR="00B5325D" w:rsidRPr="00B5325D" w:rsidRDefault="00B5325D" w:rsidP="00CE2360">
      <w:pPr>
        <w:numPr>
          <w:ilvl w:val="0"/>
          <w:numId w:val="111"/>
        </w:numPr>
      </w:pPr>
      <w:r w:rsidRPr="00B5325D">
        <w:t>All services and deliverables under this Contract are financed under Component 2.1 – Activity A1.03</w:t>
      </w:r>
    </w:p>
    <w:p w14:paraId="55DFF00E" w14:textId="77777777" w:rsidR="00B5325D" w:rsidRPr="00B5325D" w:rsidRDefault="00B5325D" w:rsidP="00B5325D">
      <w:pPr>
        <w:ind w:left="720"/>
      </w:pPr>
      <w:r w:rsidRPr="00B5325D">
        <w:t>(“Hire consulting company to guide initial implementation”) of the Project Appraisal Document (PAD).</w:t>
      </w:r>
    </w:p>
    <w:p w14:paraId="0B091DFC" w14:textId="77777777" w:rsidR="00B5325D" w:rsidRPr="00B5325D" w:rsidRDefault="00B5325D" w:rsidP="00CE2360">
      <w:pPr>
        <w:numPr>
          <w:ilvl w:val="0"/>
          <w:numId w:val="111"/>
        </w:numPr>
      </w:pPr>
      <w:r w:rsidRPr="00B5325D">
        <w:t>Where applicable, payments shall be subject to the World Bank’s No-Objection, in accordance with the Financing Agreement and the PAD.</w:t>
      </w:r>
    </w:p>
    <w:p w14:paraId="77CFF84D" w14:textId="77777777" w:rsidR="00B5325D" w:rsidRPr="00B5325D" w:rsidRDefault="00B5325D" w:rsidP="00CE2360">
      <w:pPr>
        <w:numPr>
          <w:ilvl w:val="0"/>
          <w:numId w:val="111"/>
        </w:numPr>
        <w:spacing w:after="120"/>
      </w:pPr>
      <w:r w:rsidRPr="00B5325D">
        <w:t>The Consultant shall submit invoices only upon completion and acceptance of the respective milestone.</w:t>
      </w:r>
    </w:p>
    <w:p w14:paraId="0075A52D" w14:textId="77777777" w:rsidR="00B5325D" w:rsidRPr="00B5325D" w:rsidRDefault="00B5325D" w:rsidP="00B5325D">
      <w:pPr>
        <w:rPr>
          <w:b/>
          <w:bCs/>
        </w:rPr>
      </w:pPr>
      <w:r w:rsidRPr="00B5325D">
        <w:t xml:space="preserve">6.5 </w:t>
      </w:r>
      <w:r w:rsidRPr="00B5325D">
        <w:rPr>
          <w:b/>
          <w:bCs/>
        </w:rPr>
        <w:t xml:space="preserve"> Workplan &amp; Timeline (34 months)</w:t>
      </w:r>
    </w:p>
    <w:p w14:paraId="3C4E64EC" w14:textId="77777777" w:rsidR="00B5325D" w:rsidRPr="00B5325D" w:rsidRDefault="00B5325D" w:rsidP="00CE2360">
      <w:pPr>
        <w:numPr>
          <w:ilvl w:val="0"/>
          <w:numId w:val="55"/>
        </w:numPr>
        <w:spacing w:after="160" w:line="259" w:lineRule="auto"/>
      </w:pPr>
      <w:r w:rsidRPr="00B5325D">
        <w:t>The SDHP will follow a structured 34-month plan, including:</w:t>
      </w:r>
    </w:p>
    <w:p w14:paraId="268286B5" w14:textId="77777777" w:rsidR="00B5325D" w:rsidRPr="00B5325D" w:rsidRDefault="00B5325D" w:rsidP="00CE2360">
      <w:pPr>
        <w:numPr>
          <w:ilvl w:val="1"/>
          <w:numId w:val="109"/>
        </w:numPr>
        <w:spacing w:after="160" w:line="259" w:lineRule="auto"/>
        <w:contextualSpacing/>
      </w:pPr>
      <w:r w:rsidRPr="00B5325D">
        <w:t>Months 1–6: drafting of ToRs (can start immediately, based on feasibility study and blueprint); assessment and gap analysis; draft IGs</w:t>
      </w:r>
    </w:p>
    <w:p w14:paraId="78768BF1" w14:textId="77777777" w:rsidR="00B5325D" w:rsidRPr="00B5325D" w:rsidRDefault="00B5325D" w:rsidP="00CE2360">
      <w:pPr>
        <w:numPr>
          <w:ilvl w:val="1"/>
          <w:numId w:val="109"/>
        </w:numPr>
        <w:spacing w:after="160" w:line="259" w:lineRule="auto"/>
        <w:contextualSpacing/>
      </w:pPr>
      <w:r w:rsidRPr="00B5325D">
        <w:t>Months 7–12: final specifications, QA Framework, SLA model, test environment set-up; (Months 13-18 Tendering process)</w:t>
      </w:r>
    </w:p>
    <w:p w14:paraId="76E3939C" w14:textId="77777777" w:rsidR="00B5325D" w:rsidRPr="00B5325D" w:rsidRDefault="00B5325D" w:rsidP="00CE2360">
      <w:pPr>
        <w:numPr>
          <w:ilvl w:val="1"/>
          <w:numId w:val="109"/>
        </w:numPr>
        <w:spacing w:after="160" w:line="259" w:lineRule="auto"/>
        <w:contextualSpacing/>
      </w:pPr>
      <w:r w:rsidRPr="00B5325D">
        <w:t>Months 19–24: implementation and integration, intensive QA/QC, conformance testing;</w:t>
      </w:r>
    </w:p>
    <w:p w14:paraId="13A2B9A4" w14:textId="77777777" w:rsidR="00B5325D" w:rsidRPr="00B5325D" w:rsidRDefault="00B5325D" w:rsidP="00CE2360">
      <w:pPr>
        <w:numPr>
          <w:ilvl w:val="1"/>
          <w:numId w:val="109"/>
        </w:numPr>
        <w:spacing w:after="160" w:line="259" w:lineRule="auto"/>
        <w:contextualSpacing/>
      </w:pPr>
      <w:r w:rsidRPr="00B5325D">
        <w:t>Months 25–34: stabilization, optimization, final documentation, training, sustainability planning.</w:t>
      </w:r>
    </w:p>
    <w:p w14:paraId="64B886B1" w14:textId="77777777" w:rsidR="00B5325D" w:rsidRPr="00B5325D" w:rsidRDefault="00B5325D" w:rsidP="00B5325D"/>
    <w:p w14:paraId="16142465" w14:textId="77777777" w:rsidR="00B5325D" w:rsidRPr="00B5325D" w:rsidRDefault="00B5325D" w:rsidP="00B5325D">
      <w:pPr>
        <w:rPr>
          <w:rFonts w:eastAsia="Calibri"/>
          <w:color w:val="1F497D"/>
          <w:lang w:val="sq-AL"/>
        </w:rPr>
      </w:pPr>
    </w:p>
    <w:p w14:paraId="1DC50658" w14:textId="77777777" w:rsidR="00B5325D" w:rsidRPr="00B5325D" w:rsidRDefault="00B5325D" w:rsidP="00B5325D">
      <w:pPr>
        <w:rPr>
          <w:rFonts w:eastAsia="Calibri"/>
          <w:b/>
          <w:bCs/>
        </w:rPr>
      </w:pPr>
      <w:r w:rsidRPr="00B5325D">
        <w:rPr>
          <w:rFonts w:eastAsia="Calibri"/>
          <w:b/>
          <w:bCs/>
        </w:rPr>
        <w:t>B. Deliverables and Milestones</w:t>
      </w:r>
    </w:p>
    <w:p w14:paraId="2A9114AB" w14:textId="77777777" w:rsidR="00B5325D" w:rsidRPr="00B5325D" w:rsidRDefault="00B5325D" w:rsidP="00B5325D">
      <w:pPr>
        <w:rPr>
          <w:rFonts w:eastAsia="Calibri"/>
          <w:b/>
          <w:bCs/>
        </w:rPr>
      </w:pPr>
      <w:r w:rsidRPr="00B5325D">
        <w:rPr>
          <w:rFonts w:eastAsia="Calibri"/>
          <w:b/>
          <w:bCs/>
        </w:rPr>
        <w:t>All deliverables under this Contract shall be measurable, clearly defined, and subject to formal written acceptance by the Client</w:t>
      </w:r>
    </w:p>
    <w:p w14:paraId="1AD2AE87" w14:textId="77777777" w:rsidR="00B5325D" w:rsidRPr="00B5325D" w:rsidRDefault="00B5325D" w:rsidP="00B5325D">
      <w:pPr>
        <w:rPr>
          <w:rFonts w:eastAsia="Calibri"/>
          <w:b/>
          <w:bCs/>
        </w:rPr>
      </w:pPr>
      <w:r w:rsidRPr="00B5325D">
        <w:rPr>
          <w:rFonts w:eastAsia="Calibri"/>
          <w:b/>
          <w:bCs/>
        </w:rPr>
        <w:t>Milestone 1 – Mobilization and Strategic Inception</w:t>
      </w:r>
    </w:p>
    <w:p w14:paraId="1F7E32AF" w14:textId="77777777" w:rsidR="00B5325D" w:rsidRPr="00B5325D" w:rsidRDefault="00B5325D" w:rsidP="00B5325D">
      <w:pPr>
        <w:rPr>
          <w:rFonts w:eastAsia="Calibri"/>
        </w:rPr>
      </w:pPr>
      <w:r w:rsidRPr="00B5325D">
        <w:rPr>
          <w:rFonts w:eastAsia="Calibri"/>
          <w:b/>
          <w:bCs/>
        </w:rPr>
        <w:lastRenderedPageBreak/>
        <w:t>PAD Reference:</w:t>
      </w:r>
    </w:p>
    <w:p w14:paraId="476B1B8C" w14:textId="77777777" w:rsidR="00B5325D" w:rsidRPr="00B5325D" w:rsidRDefault="00B5325D" w:rsidP="00CE2360">
      <w:pPr>
        <w:numPr>
          <w:ilvl w:val="0"/>
          <w:numId w:val="112"/>
        </w:numPr>
      </w:pPr>
      <w:r w:rsidRPr="00B5325D">
        <w:rPr>
          <w:b/>
          <w:bCs/>
        </w:rPr>
        <w:t>Component 2.1 – A1.03</w:t>
      </w:r>
    </w:p>
    <w:p w14:paraId="730C97A2" w14:textId="77777777" w:rsidR="00B5325D" w:rsidRPr="00B5325D" w:rsidRDefault="00B5325D" w:rsidP="00B5325D">
      <w:pPr>
        <w:rPr>
          <w:rFonts w:eastAsia="Calibri"/>
        </w:rPr>
      </w:pPr>
      <w:r w:rsidRPr="00B5325D">
        <w:rPr>
          <w:rFonts w:eastAsia="Calibri"/>
          <w:b/>
          <w:bCs/>
        </w:rPr>
        <w:t>Deliverables:</w:t>
      </w:r>
    </w:p>
    <w:p w14:paraId="45221085" w14:textId="77777777" w:rsidR="00B5325D" w:rsidRPr="00B5325D" w:rsidRDefault="00B5325D" w:rsidP="00CE2360">
      <w:pPr>
        <w:numPr>
          <w:ilvl w:val="0"/>
          <w:numId w:val="113"/>
        </w:numPr>
      </w:pPr>
      <w:r w:rsidRPr="00B5325D">
        <w:t>Inception Report, including:</w:t>
      </w:r>
    </w:p>
    <w:p w14:paraId="46E0A318" w14:textId="77777777" w:rsidR="00B5325D" w:rsidRPr="00B5325D" w:rsidRDefault="00B5325D" w:rsidP="00CE2360">
      <w:pPr>
        <w:numPr>
          <w:ilvl w:val="1"/>
          <w:numId w:val="113"/>
        </w:numPr>
      </w:pPr>
      <w:r w:rsidRPr="00B5325D">
        <w:t>Strategic advisory methodology;</w:t>
      </w:r>
    </w:p>
    <w:p w14:paraId="32DDB553" w14:textId="77777777" w:rsidR="00B5325D" w:rsidRPr="00B5325D" w:rsidRDefault="00B5325D" w:rsidP="00CE2360">
      <w:pPr>
        <w:numPr>
          <w:ilvl w:val="1"/>
          <w:numId w:val="113"/>
        </w:numPr>
      </w:pPr>
      <w:r w:rsidRPr="00B5325D">
        <w:t>Detailed 34-month workplan aligned with PAD Component 2.1;</w:t>
      </w:r>
    </w:p>
    <w:p w14:paraId="7E81F050" w14:textId="77777777" w:rsidR="00B5325D" w:rsidRPr="00B5325D" w:rsidRDefault="00B5325D" w:rsidP="00CE2360">
      <w:pPr>
        <w:numPr>
          <w:ilvl w:val="1"/>
          <w:numId w:val="113"/>
        </w:numPr>
      </w:pPr>
      <w:r w:rsidRPr="00B5325D">
        <w:t>Sequencing of required Terms of Reference (ToRs) and Technical Specifications;</w:t>
      </w:r>
    </w:p>
    <w:p w14:paraId="59ED31FC" w14:textId="77777777" w:rsidR="00B5325D" w:rsidRPr="00B5325D" w:rsidRDefault="00B5325D" w:rsidP="00CE2360">
      <w:pPr>
        <w:numPr>
          <w:ilvl w:val="1"/>
          <w:numId w:val="113"/>
        </w:numPr>
      </w:pPr>
      <w:r w:rsidRPr="00B5325D">
        <w:t>Stakeholder coordination and governance arrangements for IHIS implementation.</w:t>
      </w:r>
    </w:p>
    <w:p w14:paraId="7BA37360" w14:textId="77777777" w:rsidR="00B5325D" w:rsidRPr="00B5325D" w:rsidRDefault="00B5325D" w:rsidP="00B5325D">
      <w:pPr>
        <w:rPr>
          <w:rFonts w:eastAsia="Calibri"/>
        </w:rPr>
      </w:pPr>
      <w:r w:rsidRPr="00B5325D">
        <w:rPr>
          <w:rFonts w:eastAsia="Calibri"/>
          <w:b/>
          <w:bCs/>
        </w:rPr>
        <w:t>Payment:</w:t>
      </w:r>
    </w:p>
    <w:p w14:paraId="488E1A1E" w14:textId="77777777" w:rsidR="00B5325D" w:rsidRPr="00B5325D" w:rsidRDefault="00B5325D" w:rsidP="00CE2360">
      <w:pPr>
        <w:numPr>
          <w:ilvl w:val="0"/>
          <w:numId w:val="114"/>
        </w:numPr>
      </w:pPr>
      <w:r w:rsidRPr="00B5325D">
        <w:rPr>
          <w:b/>
          <w:bCs/>
        </w:rPr>
        <w:t xml:space="preserve">8% of Contract Price </w:t>
      </w:r>
    </w:p>
    <w:p w14:paraId="0E8CCEA3" w14:textId="77777777" w:rsidR="00B5325D" w:rsidRPr="00B5325D" w:rsidRDefault="00B5325D" w:rsidP="00CE2360">
      <w:pPr>
        <w:numPr>
          <w:ilvl w:val="0"/>
          <w:numId w:val="114"/>
        </w:numPr>
        <w:spacing w:after="120"/>
        <w:rPr>
          <w:color w:val="1F497D"/>
        </w:rPr>
      </w:pPr>
      <w:r w:rsidRPr="00B5325D">
        <w:t>Payable upon approval of the Inception Report by the Client</w:t>
      </w:r>
      <w:r w:rsidRPr="00B5325D">
        <w:rPr>
          <w:color w:val="1F497D"/>
        </w:rPr>
        <w:t>.</w:t>
      </w:r>
    </w:p>
    <w:p w14:paraId="4ADFFF9B" w14:textId="77777777" w:rsidR="00B5325D" w:rsidRPr="00B5325D" w:rsidRDefault="00B5325D" w:rsidP="00B5325D">
      <w:r w:rsidRPr="00B5325D">
        <w:t>Acceptance Criteria:</w:t>
      </w:r>
    </w:p>
    <w:p w14:paraId="0E5DC696" w14:textId="77777777" w:rsidR="00B5325D" w:rsidRPr="00B5325D" w:rsidRDefault="00B5325D" w:rsidP="00B5325D">
      <w:pPr>
        <w:ind w:left="720"/>
      </w:pPr>
      <w:r w:rsidRPr="00B5325D">
        <w:t>• Report must include a complete 34-month workplan aligned with PAD;</w:t>
      </w:r>
    </w:p>
    <w:p w14:paraId="3E9823D6" w14:textId="77777777" w:rsidR="00B5325D" w:rsidRPr="00B5325D" w:rsidRDefault="00B5325D" w:rsidP="00B5325D">
      <w:pPr>
        <w:ind w:left="720"/>
      </w:pPr>
      <w:r w:rsidRPr="00B5325D">
        <w:t>• Must include sequenced ToRs and Technical Specifications;</w:t>
      </w:r>
    </w:p>
    <w:p w14:paraId="6DA39D2F" w14:textId="77777777" w:rsidR="00B5325D" w:rsidRPr="00B5325D" w:rsidRDefault="00B5325D" w:rsidP="00B5325D">
      <w:pPr>
        <w:ind w:left="720"/>
      </w:pPr>
      <w:r w:rsidRPr="00B5325D">
        <w:t>• Must define stakeholder coordination and governance structure;</w:t>
      </w:r>
    </w:p>
    <w:p w14:paraId="38D2091D" w14:textId="77777777" w:rsidR="00B5325D" w:rsidRPr="00B5325D" w:rsidRDefault="00B5325D" w:rsidP="00B5325D">
      <w:pPr>
        <w:ind w:left="720"/>
      </w:pPr>
      <w:r w:rsidRPr="00B5325D">
        <w:t>• Must be formally accepted in writing by the Client.</w:t>
      </w:r>
    </w:p>
    <w:p w14:paraId="6CB46CE2" w14:textId="77777777" w:rsidR="00B5325D" w:rsidRPr="00B5325D" w:rsidRDefault="00B5325D" w:rsidP="00B5325D">
      <w:pPr>
        <w:ind w:left="720"/>
        <w:rPr>
          <w:rFonts w:eastAsia="Calibri"/>
          <w:color w:val="1F497D"/>
        </w:rPr>
      </w:pPr>
    </w:p>
    <w:p w14:paraId="60C201A7" w14:textId="77777777" w:rsidR="00B5325D" w:rsidRPr="00B5325D" w:rsidRDefault="00B5325D" w:rsidP="00B5325D">
      <w:pPr>
        <w:rPr>
          <w:rFonts w:eastAsia="Calibri"/>
          <w:b/>
          <w:bCs/>
        </w:rPr>
      </w:pPr>
      <w:r w:rsidRPr="00B5325D">
        <w:rPr>
          <w:rFonts w:eastAsia="Calibri"/>
          <w:b/>
          <w:bCs/>
        </w:rPr>
        <w:t>Milestone 2 – Digital Health and Institutional Needs Assessment</w:t>
      </w:r>
    </w:p>
    <w:p w14:paraId="0DC63EB6" w14:textId="77777777" w:rsidR="00B5325D" w:rsidRPr="00B5325D" w:rsidRDefault="00B5325D" w:rsidP="00B5325D">
      <w:pPr>
        <w:rPr>
          <w:rFonts w:eastAsia="Calibri"/>
        </w:rPr>
      </w:pPr>
      <w:r w:rsidRPr="00B5325D">
        <w:rPr>
          <w:rFonts w:eastAsia="Calibri"/>
          <w:b/>
          <w:bCs/>
        </w:rPr>
        <w:t>PAD Reference:</w:t>
      </w:r>
    </w:p>
    <w:p w14:paraId="096073D5" w14:textId="77777777" w:rsidR="00B5325D" w:rsidRPr="00B5325D" w:rsidRDefault="00B5325D" w:rsidP="00B5325D">
      <w:pPr>
        <w:rPr>
          <w:rFonts w:eastAsia="Calibri"/>
        </w:rPr>
      </w:pPr>
      <w:r w:rsidRPr="00B5325D">
        <w:rPr>
          <w:rFonts w:eastAsia="Calibri"/>
          <w:b/>
          <w:bCs/>
        </w:rPr>
        <w:t>Deliverables:</w:t>
      </w:r>
    </w:p>
    <w:p w14:paraId="54487032" w14:textId="77777777" w:rsidR="00B5325D" w:rsidRPr="00B5325D" w:rsidRDefault="00B5325D" w:rsidP="00CE2360">
      <w:pPr>
        <w:numPr>
          <w:ilvl w:val="0"/>
          <w:numId w:val="115"/>
        </w:numPr>
      </w:pPr>
      <w:r w:rsidRPr="00B5325D">
        <w:t>Assessment of the national digital health landscape;</w:t>
      </w:r>
    </w:p>
    <w:p w14:paraId="7A050261" w14:textId="77777777" w:rsidR="00B5325D" w:rsidRPr="00B5325D" w:rsidRDefault="00B5325D" w:rsidP="00CE2360">
      <w:pPr>
        <w:numPr>
          <w:ilvl w:val="0"/>
          <w:numId w:val="115"/>
        </w:numPr>
      </w:pPr>
      <w:r w:rsidRPr="00B5325D">
        <w:t>Review of existing health information systems and interoperability arrangements;</w:t>
      </w:r>
    </w:p>
    <w:p w14:paraId="2D3949BC" w14:textId="77777777" w:rsidR="00B5325D" w:rsidRPr="00B5325D" w:rsidRDefault="00B5325D" w:rsidP="00CE2360">
      <w:pPr>
        <w:numPr>
          <w:ilvl w:val="0"/>
          <w:numId w:val="115"/>
        </w:numPr>
      </w:pPr>
      <w:r w:rsidRPr="00B5325D">
        <w:t>Institutional and implementation readiness assessment;</w:t>
      </w:r>
    </w:p>
    <w:p w14:paraId="09CE8CF0" w14:textId="77777777" w:rsidR="00B5325D" w:rsidRPr="00B5325D" w:rsidRDefault="00B5325D" w:rsidP="00CE2360">
      <w:pPr>
        <w:numPr>
          <w:ilvl w:val="0"/>
          <w:numId w:val="115"/>
        </w:numPr>
      </w:pPr>
      <w:r w:rsidRPr="00B5325D">
        <w:t>Prioritized roadmap of procurement and advisory deliverables to be supported under A1.03.</w:t>
      </w:r>
    </w:p>
    <w:p w14:paraId="54018C48" w14:textId="77777777" w:rsidR="00B5325D" w:rsidRPr="00B5325D" w:rsidRDefault="00B5325D" w:rsidP="00B5325D">
      <w:pPr>
        <w:rPr>
          <w:rFonts w:eastAsia="Calibri"/>
        </w:rPr>
      </w:pPr>
      <w:r w:rsidRPr="00B5325D">
        <w:rPr>
          <w:rFonts w:eastAsia="Calibri"/>
          <w:b/>
          <w:bCs/>
        </w:rPr>
        <w:t>Payment:</w:t>
      </w:r>
    </w:p>
    <w:p w14:paraId="5A6F8FBB" w14:textId="77777777" w:rsidR="00B5325D" w:rsidRPr="00B5325D" w:rsidRDefault="00B5325D" w:rsidP="00CE2360">
      <w:pPr>
        <w:numPr>
          <w:ilvl w:val="0"/>
          <w:numId w:val="116"/>
        </w:numPr>
      </w:pPr>
      <w:r w:rsidRPr="00B5325D">
        <w:rPr>
          <w:b/>
          <w:bCs/>
        </w:rPr>
        <w:t xml:space="preserve">12% of Contract Price </w:t>
      </w:r>
    </w:p>
    <w:p w14:paraId="04E9D027" w14:textId="77777777" w:rsidR="00B5325D" w:rsidRPr="00B5325D" w:rsidRDefault="00B5325D" w:rsidP="00CE2360">
      <w:pPr>
        <w:numPr>
          <w:ilvl w:val="0"/>
          <w:numId w:val="116"/>
        </w:numPr>
      </w:pPr>
      <w:r w:rsidRPr="00B5325D">
        <w:t>Payable upon acceptance of the Assessment Report by the Client.</w:t>
      </w:r>
    </w:p>
    <w:p w14:paraId="18E32C21" w14:textId="77777777" w:rsidR="00B5325D" w:rsidRPr="00B5325D" w:rsidRDefault="00B5325D" w:rsidP="00B5325D">
      <w:pPr>
        <w:ind w:left="360"/>
        <w:rPr>
          <w:rFonts w:eastAsia="Calibri"/>
        </w:rPr>
      </w:pPr>
      <w:r w:rsidRPr="00B5325D">
        <w:rPr>
          <w:rFonts w:eastAsia="Calibri"/>
        </w:rPr>
        <w:t>Acceptance Criteria:</w:t>
      </w:r>
    </w:p>
    <w:p w14:paraId="5E20BE29" w14:textId="77777777" w:rsidR="00B5325D" w:rsidRPr="00B5325D" w:rsidRDefault="00B5325D" w:rsidP="00B5325D">
      <w:pPr>
        <w:ind w:left="720"/>
        <w:rPr>
          <w:rFonts w:eastAsia="Calibri"/>
        </w:rPr>
      </w:pPr>
      <w:r w:rsidRPr="00B5325D">
        <w:rPr>
          <w:rFonts w:eastAsia="Calibri"/>
        </w:rPr>
        <w:t>• Assessment Report is submitted in written form;</w:t>
      </w:r>
    </w:p>
    <w:p w14:paraId="292C125F" w14:textId="77777777" w:rsidR="00B5325D" w:rsidRPr="00B5325D" w:rsidRDefault="00B5325D" w:rsidP="00B5325D">
      <w:pPr>
        <w:ind w:left="720"/>
        <w:rPr>
          <w:rFonts w:eastAsia="Calibri"/>
        </w:rPr>
      </w:pPr>
      <w:r w:rsidRPr="00B5325D">
        <w:rPr>
          <w:rFonts w:eastAsia="Calibri"/>
        </w:rPr>
        <w:t>• Includes comprehensive analysis of the national digital health landscape;</w:t>
      </w:r>
    </w:p>
    <w:p w14:paraId="1AC99A6F" w14:textId="77777777" w:rsidR="00B5325D" w:rsidRPr="00B5325D" w:rsidRDefault="00B5325D" w:rsidP="00B5325D">
      <w:pPr>
        <w:ind w:left="720"/>
        <w:rPr>
          <w:rFonts w:eastAsia="Calibri"/>
        </w:rPr>
      </w:pPr>
      <w:r w:rsidRPr="00B5325D">
        <w:rPr>
          <w:rFonts w:eastAsia="Calibri"/>
        </w:rPr>
        <w:t>• Includes review of existing health information systems and interoperability arrangements;</w:t>
      </w:r>
    </w:p>
    <w:p w14:paraId="43365896" w14:textId="77777777" w:rsidR="00B5325D" w:rsidRPr="00B5325D" w:rsidRDefault="00B5325D" w:rsidP="00B5325D">
      <w:pPr>
        <w:ind w:left="720"/>
        <w:rPr>
          <w:rFonts w:eastAsia="Calibri"/>
        </w:rPr>
      </w:pPr>
      <w:r w:rsidRPr="00B5325D">
        <w:rPr>
          <w:rFonts w:eastAsia="Calibri"/>
        </w:rPr>
        <w:t>• Includes institutional and implementation readiness assessment;</w:t>
      </w:r>
    </w:p>
    <w:p w14:paraId="16F1382E" w14:textId="77777777" w:rsidR="00B5325D" w:rsidRPr="00B5325D" w:rsidRDefault="00B5325D" w:rsidP="00B5325D">
      <w:pPr>
        <w:ind w:left="720"/>
        <w:rPr>
          <w:rFonts w:eastAsia="Calibri"/>
        </w:rPr>
      </w:pPr>
      <w:r w:rsidRPr="00B5325D">
        <w:rPr>
          <w:rFonts w:eastAsia="Calibri"/>
        </w:rPr>
        <w:t>• Includes a prioritized and actionable roadmap aligned with A1.03;</w:t>
      </w:r>
    </w:p>
    <w:p w14:paraId="3F04ED57" w14:textId="77777777" w:rsidR="00B5325D" w:rsidRPr="00B5325D" w:rsidRDefault="00B5325D" w:rsidP="00B5325D">
      <w:pPr>
        <w:spacing w:after="120"/>
        <w:ind w:left="720"/>
        <w:rPr>
          <w:rFonts w:eastAsia="Calibri"/>
        </w:rPr>
      </w:pPr>
      <w:r w:rsidRPr="00B5325D">
        <w:rPr>
          <w:rFonts w:eastAsia="Calibri"/>
        </w:rPr>
        <w:t>• Formally accepted in writing by the Client.</w:t>
      </w:r>
    </w:p>
    <w:p w14:paraId="3B11F806" w14:textId="77777777" w:rsidR="00B5325D" w:rsidRPr="00B5325D" w:rsidRDefault="00B5325D" w:rsidP="00B5325D">
      <w:pPr>
        <w:rPr>
          <w:rFonts w:eastAsia="Calibri"/>
          <w:b/>
          <w:bCs/>
        </w:rPr>
      </w:pPr>
      <w:r w:rsidRPr="00B5325D">
        <w:rPr>
          <w:rFonts w:eastAsia="Calibri"/>
          <w:b/>
          <w:bCs/>
        </w:rPr>
        <w:t>Milestone 3 – Draft Terms of Reference and Technical Specifications (Batch 1)</w:t>
      </w:r>
    </w:p>
    <w:p w14:paraId="3B64DAB7" w14:textId="77777777" w:rsidR="00B5325D" w:rsidRPr="00B5325D" w:rsidRDefault="00B5325D" w:rsidP="00B5325D">
      <w:pPr>
        <w:rPr>
          <w:rFonts w:eastAsia="Calibri"/>
        </w:rPr>
      </w:pPr>
      <w:r w:rsidRPr="00B5325D">
        <w:rPr>
          <w:rFonts w:eastAsia="Calibri"/>
          <w:b/>
          <w:bCs/>
        </w:rPr>
        <w:t>PAD Reference:</w:t>
      </w:r>
    </w:p>
    <w:p w14:paraId="272784D6" w14:textId="77777777" w:rsidR="00B5325D" w:rsidRPr="00B5325D" w:rsidRDefault="00B5325D" w:rsidP="00B5325D">
      <w:pPr>
        <w:rPr>
          <w:rFonts w:eastAsia="Calibri"/>
        </w:rPr>
      </w:pPr>
      <w:r w:rsidRPr="00B5325D">
        <w:rPr>
          <w:rFonts w:eastAsia="Calibri"/>
          <w:b/>
          <w:bCs/>
        </w:rPr>
        <w:t>Deliverables:</w:t>
      </w:r>
    </w:p>
    <w:p w14:paraId="321FBDDD" w14:textId="77777777" w:rsidR="00B5325D" w:rsidRPr="00B5325D" w:rsidRDefault="00B5325D" w:rsidP="00CE2360">
      <w:pPr>
        <w:numPr>
          <w:ilvl w:val="0"/>
          <w:numId w:val="117"/>
        </w:numPr>
      </w:pPr>
      <w:r w:rsidRPr="00B5325D">
        <w:t>Draft ToRs and Technical Specifications supporting foundational IHIS building blocks, including:</w:t>
      </w:r>
    </w:p>
    <w:p w14:paraId="06C3A300" w14:textId="77777777" w:rsidR="00B5325D" w:rsidRPr="00B5325D" w:rsidRDefault="00B5325D" w:rsidP="00CE2360">
      <w:pPr>
        <w:numPr>
          <w:ilvl w:val="1"/>
          <w:numId w:val="117"/>
        </w:numPr>
      </w:pPr>
      <w:r w:rsidRPr="00B5325D">
        <w:t>Core IHIS/HIMS components;</w:t>
      </w:r>
    </w:p>
    <w:p w14:paraId="1A50F711" w14:textId="77777777" w:rsidR="00B5325D" w:rsidRPr="00B5325D" w:rsidRDefault="00B5325D" w:rsidP="00CE2360">
      <w:pPr>
        <w:numPr>
          <w:ilvl w:val="1"/>
          <w:numId w:val="117"/>
        </w:numPr>
      </w:pPr>
      <w:r w:rsidRPr="00B5325D">
        <w:t>Interoperability and data-exchange mechanisms;</w:t>
      </w:r>
    </w:p>
    <w:p w14:paraId="2F230644" w14:textId="77777777" w:rsidR="00B5325D" w:rsidRPr="00B5325D" w:rsidRDefault="00B5325D" w:rsidP="00CE2360">
      <w:pPr>
        <w:numPr>
          <w:ilvl w:val="1"/>
          <w:numId w:val="117"/>
        </w:numPr>
      </w:pPr>
      <w:r w:rsidRPr="00B5325D">
        <w:t>Master data and registry-related components.</w:t>
      </w:r>
    </w:p>
    <w:p w14:paraId="6DB4364B" w14:textId="77777777" w:rsidR="00B5325D" w:rsidRPr="00B5325D" w:rsidRDefault="00B5325D" w:rsidP="00CE2360">
      <w:pPr>
        <w:numPr>
          <w:ilvl w:val="0"/>
          <w:numId w:val="117"/>
        </w:numPr>
      </w:pPr>
      <w:r w:rsidRPr="00B5325D">
        <w:t>All documents prepared in accordance with World Bank Standard Procurement Documents.</w:t>
      </w:r>
    </w:p>
    <w:p w14:paraId="3593C20C" w14:textId="77777777" w:rsidR="00B5325D" w:rsidRPr="00B5325D" w:rsidRDefault="00B5325D" w:rsidP="00B5325D">
      <w:pPr>
        <w:rPr>
          <w:rFonts w:eastAsia="Calibri"/>
        </w:rPr>
      </w:pPr>
      <w:r w:rsidRPr="00B5325D">
        <w:rPr>
          <w:rFonts w:eastAsia="Calibri"/>
          <w:b/>
          <w:bCs/>
        </w:rPr>
        <w:lastRenderedPageBreak/>
        <w:t>Payment:</w:t>
      </w:r>
    </w:p>
    <w:p w14:paraId="0088284B" w14:textId="77777777" w:rsidR="00B5325D" w:rsidRPr="00B5325D" w:rsidRDefault="00B5325D" w:rsidP="00CE2360">
      <w:pPr>
        <w:numPr>
          <w:ilvl w:val="0"/>
          <w:numId w:val="118"/>
        </w:numPr>
      </w:pPr>
      <w:r w:rsidRPr="00B5325D">
        <w:rPr>
          <w:b/>
          <w:bCs/>
        </w:rPr>
        <w:t xml:space="preserve">18% of Contract Price </w:t>
      </w:r>
    </w:p>
    <w:p w14:paraId="027E883C" w14:textId="77777777" w:rsidR="00B5325D" w:rsidRPr="00B5325D" w:rsidRDefault="00B5325D" w:rsidP="00CE2360">
      <w:pPr>
        <w:numPr>
          <w:ilvl w:val="0"/>
          <w:numId w:val="118"/>
        </w:numPr>
        <w:spacing w:after="120"/>
      </w:pPr>
      <w:r w:rsidRPr="00B5325D">
        <w:t>Payable upon technical acceptance of draft deliverables by the Client.</w:t>
      </w:r>
    </w:p>
    <w:p w14:paraId="4B3D281C" w14:textId="77777777" w:rsidR="00B5325D" w:rsidRPr="00B5325D" w:rsidRDefault="00B5325D" w:rsidP="00B5325D">
      <w:pPr>
        <w:rPr>
          <w:rFonts w:eastAsia="Calibri"/>
        </w:rPr>
      </w:pPr>
      <w:r w:rsidRPr="00B5325D">
        <w:rPr>
          <w:rFonts w:eastAsia="Calibri"/>
        </w:rPr>
        <w:t>Acceptance Criteria:</w:t>
      </w:r>
    </w:p>
    <w:p w14:paraId="04389600" w14:textId="77777777" w:rsidR="00B5325D" w:rsidRPr="00B5325D" w:rsidRDefault="00B5325D" w:rsidP="00B5325D">
      <w:pPr>
        <w:ind w:left="720"/>
        <w:rPr>
          <w:rFonts w:eastAsia="Calibri"/>
        </w:rPr>
      </w:pPr>
      <w:r w:rsidRPr="00B5325D">
        <w:rPr>
          <w:rFonts w:eastAsia="Calibri"/>
        </w:rPr>
        <w:t>• A minimum of three (3) Draft Terms of Reference and Technical Specifications are submitted;</w:t>
      </w:r>
    </w:p>
    <w:p w14:paraId="09DF1E5F" w14:textId="77777777" w:rsidR="00B5325D" w:rsidRPr="00B5325D" w:rsidRDefault="00B5325D" w:rsidP="00B5325D">
      <w:pPr>
        <w:ind w:left="720"/>
        <w:rPr>
          <w:rFonts w:eastAsia="Calibri"/>
        </w:rPr>
      </w:pPr>
      <w:r w:rsidRPr="00B5325D">
        <w:rPr>
          <w:rFonts w:eastAsia="Calibri"/>
        </w:rPr>
        <w:t>• Each document clearly covers:</w:t>
      </w:r>
    </w:p>
    <w:p w14:paraId="4F9CE7F8" w14:textId="77777777" w:rsidR="00B5325D" w:rsidRPr="00B5325D" w:rsidRDefault="00B5325D" w:rsidP="00B5325D">
      <w:pPr>
        <w:ind w:left="720"/>
        <w:rPr>
          <w:rFonts w:eastAsia="Calibri"/>
        </w:rPr>
      </w:pPr>
      <w:r w:rsidRPr="00B5325D">
        <w:rPr>
          <w:rFonts w:eastAsia="Calibri"/>
        </w:rPr>
        <w:t xml:space="preserve">  - Core IHIS/HIMS components;</w:t>
      </w:r>
    </w:p>
    <w:p w14:paraId="517BFD8B" w14:textId="77777777" w:rsidR="00B5325D" w:rsidRPr="00B5325D" w:rsidRDefault="00B5325D" w:rsidP="00B5325D">
      <w:pPr>
        <w:ind w:left="720"/>
        <w:rPr>
          <w:rFonts w:eastAsia="Calibri"/>
        </w:rPr>
      </w:pPr>
      <w:r w:rsidRPr="00B5325D">
        <w:rPr>
          <w:rFonts w:eastAsia="Calibri"/>
        </w:rPr>
        <w:t xml:space="preserve">  - Interoperability and data-exchange mechanisms;</w:t>
      </w:r>
    </w:p>
    <w:p w14:paraId="1CBA9F48" w14:textId="77777777" w:rsidR="00B5325D" w:rsidRPr="00B5325D" w:rsidRDefault="00B5325D" w:rsidP="00B5325D">
      <w:pPr>
        <w:ind w:left="720"/>
        <w:rPr>
          <w:rFonts w:eastAsia="Calibri"/>
        </w:rPr>
      </w:pPr>
      <w:r w:rsidRPr="00B5325D">
        <w:rPr>
          <w:rFonts w:eastAsia="Calibri"/>
        </w:rPr>
        <w:t xml:space="preserve">  - Master data and registry-related components;</w:t>
      </w:r>
    </w:p>
    <w:p w14:paraId="3E7D4235" w14:textId="77777777" w:rsidR="00B5325D" w:rsidRPr="00B5325D" w:rsidRDefault="00B5325D" w:rsidP="00B5325D">
      <w:pPr>
        <w:ind w:left="720"/>
        <w:rPr>
          <w:rFonts w:eastAsia="Calibri"/>
        </w:rPr>
      </w:pPr>
      <w:r w:rsidRPr="00B5325D">
        <w:rPr>
          <w:rFonts w:eastAsia="Calibri"/>
        </w:rPr>
        <w:t>• Documents are prepared in accordance with World Bank Standard Procurement Documents;</w:t>
      </w:r>
    </w:p>
    <w:p w14:paraId="6661B5CE" w14:textId="77777777" w:rsidR="00B5325D" w:rsidRPr="00B5325D" w:rsidRDefault="00B5325D" w:rsidP="00B5325D">
      <w:pPr>
        <w:ind w:left="720"/>
        <w:rPr>
          <w:rFonts w:eastAsia="Calibri"/>
        </w:rPr>
      </w:pPr>
      <w:r w:rsidRPr="00B5325D">
        <w:rPr>
          <w:rFonts w:eastAsia="Calibri"/>
        </w:rPr>
        <w:t>• Each document includes defined scope, technical requirements, and implementation approach;</w:t>
      </w:r>
    </w:p>
    <w:p w14:paraId="4D8895C6" w14:textId="77777777" w:rsidR="00B5325D" w:rsidRPr="00B5325D" w:rsidRDefault="00B5325D" w:rsidP="00B5325D">
      <w:pPr>
        <w:spacing w:after="120"/>
        <w:ind w:left="720"/>
        <w:rPr>
          <w:rFonts w:eastAsia="Calibri"/>
        </w:rPr>
      </w:pPr>
      <w:r w:rsidRPr="00B5325D">
        <w:rPr>
          <w:rFonts w:eastAsia="Calibri"/>
        </w:rPr>
        <w:t>• Documents are reviewed and receive technical acceptance by the Client in writing.</w:t>
      </w:r>
    </w:p>
    <w:p w14:paraId="0BE6A307" w14:textId="77777777" w:rsidR="00B5325D" w:rsidRPr="00B5325D" w:rsidRDefault="00B5325D" w:rsidP="00B5325D">
      <w:pPr>
        <w:rPr>
          <w:rFonts w:eastAsia="Calibri"/>
          <w:b/>
          <w:bCs/>
        </w:rPr>
      </w:pPr>
      <w:r w:rsidRPr="00B5325D">
        <w:rPr>
          <w:rFonts w:eastAsia="Calibri"/>
          <w:b/>
          <w:bCs/>
        </w:rPr>
        <w:t>Milestone 4 – Final Terms of Reference and Technical Specifications (Batch 1)</w:t>
      </w:r>
    </w:p>
    <w:p w14:paraId="2A08EBB5" w14:textId="77777777" w:rsidR="00B5325D" w:rsidRPr="00B5325D" w:rsidRDefault="00B5325D" w:rsidP="00B5325D">
      <w:pPr>
        <w:rPr>
          <w:rFonts w:eastAsia="Calibri"/>
        </w:rPr>
      </w:pPr>
      <w:r w:rsidRPr="00B5325D">
        <w:rPr>
          <w:rFonts w:eastAsia="Calibri"/>
          <w:b/>
          <w:bCs/>
        </w:rPr>
        <w:t>PAD Reference:</w:t>
      </w:r>
    </w:p>
    <w:p w14:paraId="33474004" w14:textId="77777777" w:rsidR="00B5325D" w:rsidRPr="00B5325D" w:rsidRDefault="00B5325D" w:rsidP="00B5325D">
      <w:pPr>
        <w:rPr>
          <w:rFonts w:eastAsia="Calibri"/>
        </w:rPr>
      </w:pPr>
      <w:r w:rsidRPr="00B5325D">
        <w:rPr>
          <w:rFonts w:eastAsia="Calibri"/>
          <w:b/>
          <w:bCs/>
        </w:rPr>
        <w:t>Deliverables:</w:t>
      </w:r>
    </w:p>
    <w:p w14:paraId="4F6FBB4F" w14:textId="77777777" w:rsidR="00B5325D" w:rsidRPr="00B5325D" w:rsidRDefault="00B5325D" w:rsidP="00CE2360">
      <w:pPr>
        <w:numPr>
          <w:ilvl w:val="0"/>
          <w:numId w:val="120"/>
        </w:numPr>
      </w:pPr>
      <w:r w:rsidRPr="00B5325D">
        <w:t>Final, procurement-ready ToRs and Technical Specifications;</w:t>
      </w:r>
    </w:p>
    <w:p w14:paraId="0C71A815" w14:textId="77777777" w:rsidR="00B5325D" w:rsidRPr="00B5325D" w:rsidRDefault="00B5325D" w:rsidP="00CE2360">
      <w:pPr>
        <w:numPr>
          <w:ilvl w:val="0"/>
          <w:numId w:val="120"/>
        </w:numPr>
      </w:pPr>
      <w:r w:rsidRPr="00B5325D">
        <w:t>Incorporation of Client and World Bank comments;</w:t>
      </w:r>
    </w:p>
    <w:p w14:paraId="7F49F40F" w14:textId="77777777" w:rsidR="00B5325D" w:rsidRPr="00B5325D" w:rsidRDefault="00B5325D" w:rsidP="00CE2360">
      <w:pPr>
        <w:numPr>
          <w:ilvl w:val="0"/>
          <w:numId w:val="120"/>
        </w:numPr>
      </w:pPr>
      <w:r w:rsidRPr="00B5325D">
        <w:t>Submission of finalized documents for World Bank No-Objection, where required.</w:t>
      </w:r>
    </w:p>
    <w:p w14:paraId="5324D9C3" w14:textId="77777777" w:rsidR="00B5325D" w:rsidRPr="00B5325D" w:rsidRDefault="00B5325D" w:rsidP="00B5325D">
      <w:pPr>
        <w:rPr>
          <w:rFonts w:eastAsia="Calibri"/>
        </w:rPr>
      </w:pPr>
      <w:r w:rsidRPr="00B5325D">
        <w:rPr>
          <w:rFonts w:eastAsia="Calibri"/>
          <w:b/>
          <w:bCs/>
        </w:rPr>
        <w:t>Payment:</w:t>
      </w:r>
    </w:p>
    <w:p w14:paraId="47C2E07C" w14:textId="77777777" w:rsidR="00B5325D" w:rsidRPr="00B5325D" w:rsidRDefault="00B5325D" w:rsidP="00CE2360">
      <w:pPr>
        <w:numPr>
          <w:ilvl w:val="0"/>
          <w:numId w:val="121"/>
        </w:numPr>
      </w:pPr>
      <w:r w:rsidRPr="00B5325D">
        <w:rPr>
          <w:b/>
          <w:bCs/>
        </w:rPr>
        <w:t xml:space="preserve">15% of Contract Price </w:t>
      </w:r>
    </w:p>
    <w:p w14:paraId="1A2ADC4D" w14:textId="77777777" w:rsidR="00B5325D" w:rsidRPr="00B5325D" w:rsidRDefault="00B5325D" w:rsidP="00CE2360">
      <w:pPr>
        <w:numPr>
          <w:ilvl w:val="0"/>
          <w:numId w:val="121"/>
        </w:numPr>
        <w:spacing w:after="120"/>
      </w:pPr>
      <w:r w:rsidRPr="00B5325D">
        <w:t>Payable upon final approval and/or receipt of World Bank No-Objection.</w:t>
      </w:r>
    </w:p>
    <w:p w14:paraId="795234FC" w14:textId="77777777" w:rsidR="00B5325D" w:rsidRPr="00B5325D" w:rsidRDefault="00B5325D" w:rsidP="00B5325D">
      <w:pPr>
        <w:rPr>
          <w:rFonts w:eastAsia="Calibri"/>
        </w:rPr>
      </w:pPr>
      <w:r w:rsidRPr="00B5325D">
        <w:rPr>
          <w:rFonts w:eastAsia="Calibri"/>
        </w:rPr>
        <w:t>Acceptance Criteria:</w:t>
      </w:r>
    </w:p>
    <w:p w14:paraId="61C79E88" w14:textId="77777777" w:rsidR="00B5325D" w:rsidRPr="00B5325D" w:rsidRDefault="00B5325D" w:rsidP="00B5325D">
      <w:pPr>
        <w:ind w:left="720"/>
        <w:rPr>
          <w:rFonts w:eastAsia="Calibri"/>
        </w:rPr>
      </w:pPr>
      <w:r w:rsidRPr="00B5325D">
        <w:rPr>
          <w:rFonts w:eastAsia="Calibri"/>
        </w:rPr>
        <w:t>• Final Terms of Reference and Technical Specifications are fully updated and finalized;</w:t>
      </w:r>
    </w:p>
    <w:p w14:paraId="4219B254" w14:textId="77777777" w:rsidR="00B5325D" w:rsidRPr="00B5325D" w:rsidRDefault="00B5325D" w:rsidP="00B5325D">
      <w:pPr>
        <w:ind w:left="720"/>
        <w:rPr>
          <w:rFonts w:eastAsia="Calibri"/>
        </w:rPr>
      </w:pPr>
      <w:r w:rsidRPr="00B5325D">
        <w:rPr>
          <w:rFonts w:eastAsia="Calibri"/>
        </w:rPr>
        <w:t>• All Client and World Bank comments are properly incorporated and addressed;</w:t>
      </w:r>
    </w:p>
    <w:p w14:paraId="6EDB2212" w14:textId="77777777" w:rsidR="00B5325D" w:rsidRPr="00B5325D" w:rsidRDefault="00B5325D" w:rsidP="00B5325D">
      <w:pPr>
        <w:ind w:left="720"/>
        <w:rPr>
          <w:rFonts w:eastAsia="Calibri"/>
        </w:rPr>
      </w:pPr>
      <w:r w:rsidRPr="00B5325D">
        <w:rPr>
          <w:rFonts w:eastAsia="Calibri"/>
        </w:rPr>
        <w:t>• Documents are procurement-ready and fully aligned with World Bank Standard Procurement Documents;</w:t>
      </w:r>
    </w:p>
    <w:p w14:paraId="67B6F968" w14:textId="77777777" w:rsidR="00B5325D" w:rsidRPr="00B5325D" w:rsidRDefault="00B5325D" w:rsidP="00B5325D">
      <w:pPr>
        <w:ind w:left="720"/>
        <w:rPr>
          <w:rFonts w:eastAsia="Calibri"/>
        </w:rPr>
      </w:pPr>
      <w:r w:rsidRPr="00B5325D">
        <w:rPr>
          <w:rFonts w:eastAsia="Calibri"/>
        </w:rPr>
        <w:t>• Submission for World Bank No-Objection is completed where required;</w:t>
      </w:r>
    </w:p>
    <w:p w14:paraId="718B0822" w14:textId="77777777" w:rsidR="00B5325D" w:rsidRPr="00B5325D" w:rsidRDefault="00B5325D" w:rsidP="00B5325D">
      <w:pPr>
        <w:spacing w:after="120"/>
        <w:ind w:left="720"/>
        <w:rPr>
          <w:rFonts w:eastAsia="Calibri"/>
        </w:rPr>
      </w:pPr>
      <w:r w:rsidRPr="00B5325D">
        <w:rPr>
          <w:rFonts w:eastAsia="Calibri"/>
        </w:rPr>
        <w:t>• Final approval is confirmed in writing by the Client and/or World Bank (as applicable).</w:t>
      </w:r>
    </w:p>
    <w:p w14:paraId="7DC3FC21" w14:textId="77777777" w:rsidR="00B5325D" w:rsidRPr="00B5325D" w:rsidRDefault="00B5325D" w:rsidP="00B5325D">
      <w:pPr>
        <w:rPr>
          <w:rFonts w:eastAsia="Calibri"/>
          <w:b/>
          <w:bCs/>
        </w:rPr>
      </w:pPr>
      <w:r w:rsidRPr="00B5325D">
        <w:rPr>
          <w:rFonts w:eastAsia="Calibri"/>
          <w:b/>
          <w:bCs/>
        </w:rPr>
        <w:t>Milestone 5 – Terms of Reference and Technical Specifications (Batch 2)</w:t>
      </w:r>
    </w:p>
    <w:p w14:paraId="62AC80E3" w14:textId="77777777" w:rsidR="00B5325D" w:rsidRPr="00B5325D" w:rsidRDefault="00B5325D" w:rsidP="00B5325D">
      <w:pPr>
        <w:rPr>
          <w:rFonts w:eastAsia="Calibri"/>
        </w:rPr>
      </w:pPr>
      <w:r w:rsidRPr="00B5325D">
        <w:rPr>
          <w:rFonts w:eastAsia="Calibri"/>
          <w:b/>
          <w:bCs/>
        </w:rPr>
        <w:t>PAD Reference:</w:t>
      </w:r>
    </w:p>
    <w:p w14:paraId="0ED96AE5" w14:textId="77777777" w:rsidR="00B5325D" w:rsidRPr="00B5325D" w:rsidRDefault="00B5325D" w:rsidP="00B5325D">
      <w:pPr>
        <w:rPr>
          <w:rFonts w:eastAsia="Calibri"/>
        </w:rPr>
      </w:pPr>
      <w:r w:rsidRPr="00B5325D">
        <w:rPr>
          <w:rFonts w:eastAsia="Calibri"/>
          <w:b/>
          <w:bCs/>
        </w:rPr>
        <w:t>Deliverables:</w:t>
      </w:r>
    </w:p>
    <w:p w14:paraId="45E69248" w14:textId="77777777" w:rsidR="00B5325D" w:rsidRPr="00B5325D" w:rsidRDefault="00B5325D" w:rsidP="00CE2360">
      <w:pPr>
        <w:numPr>
          <w:ilvl w:val="0"/>
          <w:numId w:val="123"/>
        </w:numPr>
      </w:pPr>
      <w:r w:rsidRPr="00B5325D">
        <w:t>ToRs and Technical Specifications supporting additional IHIS-related systems and enabling components;</w:t>
      </w:r>
    </w:p>
    <w:p w14:paraId="3986ABC0" w14:textId="77777777" w:rsidR="00B5325D" w:rsidRPr="00B5325D" w:rsidRDefault="00B5325D" w:rsidP="00CE2360">
      <w:pPr>
        <w:numPr>
          <w:ilvl w:val="0"/>
          <w:numId w:val="123"/>
        </w:numPr>
      </w:pPr>
      <w:r w:rsidRPr="00B5325D">
        <w:t>Alignment of specifications with governance, quality-of-care, analytics, and reporting requirements, as applicable;</w:t>
      </w:r>
    </w:p>
    <w:p w14:paraId="7E77A52F" w14:textId="77777777" w:rsidR="00B5325D" w:rsidRPr="00B5325D" w:rsidRDefault="00B5325D" w:rsidP="00CE2360">
      <w:pPr>
        <w:numPr>
          <w:ilvl w:val="0"/>
          <w:numId w:val="123"/>
        </w:numPr>
      </w:pPr>
      <w:r w:rsidRPr="00B5325D">
        <w:t>Final procurement-ready documents approved by the Client.</w:t>
      </w:r>
    </w:p>
    <w:p w14:paraId="4F09045E" w14:textId="77777777" w:rsidR="00B5325D" w:rsidRPr="00B5325D" w:rsidRDefault="00B5325D" w:rsidP="00B5325D">
      <w:pPr>
        <w:rPr>
          <w:rFonts w:eastAsia="Calibri"/>
        </w:rPr>
      </w:pPr>
      <w:r w:rsidRPr="00B5325D">
        <w:rPr>
          <w:rFonts w:eastAsia="Calibri"/>
          <w:b/>
          <w:bCs/>
        </w:rPr>
        <w:t>Payment:</w:t>
      </w:r>
    </w:p>
    <w:p w14:paraId="27F97393" w14:textId="77777777" w:rsidR="00B5325D" w:rsidRPr="00B5325D" w:rsidRDefault="00B5325D" w:rsidP="00CE2360">
      <w:pPr>
        <w:numPr>
          <w:ilvl w:val="0"/>
          <w:numId w:val="117"/>
        </w:numPr>
      </w:pPr>
      <w:r w:rsidRPr="00B5325D">
        <w:rPr>
          <w:b/>
          <w:bCs/>
        </w:rPr>
        <w:t xml:space="preserve">15% of Contract Price </w:t>
      </w:r>
    </w:p>
    <w:p w14:paraId="27D397AF" w14:textId="77777777" w:rsidR="00B5325D" w:rsidRPr="00B5325D" w:rsidRDefault="00B5325D" w:rsidP="00CE2360">
      <w:pPr>
        <w:numPr>
          <w:ilvl w:val="0"/>
          <w:numId w:val="117"/>
        </w:numPr>
        <w:spacing w:after="120"/>
      </w:pPr>
      <w:r w:rsidRPr="00B5325D">
        <w:t>Payable upon acceptance of final deliverables by the Client.</w:t>
      </w:r>
    </w:p>
    <w:p w14:paraId="7B6EE0C6" w14:textId="77777777" w:rsidR="00B5325D" w:rsidRPr="00B5325D" w:rsidRDefault="00B5325D" w:rsidP="00B5325D">
      <w:pPr>
        <w:rPr>
          <w:rFonts w:eastAsia="Calibri"/>
        </w:rPr>
      </w:pPr>
      <w:r w:rsidRPr="00B5325D">
        <w:rPr>
          <w:rFonts w:eastAsia="Calibri"/>
        </w:rPr>
        <w:t>Acceptance Criteria:</w:t>
      </w:r>
    </w:p>
    <w:p w14:paraId="67B201B7" w14:textId="77777777" w:rsidR="00B5325D" w:rsidRPr="00B5325D" w:rsidRDefault="00B5325D" w:rsidP="00B5325D">
      <w:pPr>
        <w:ind w:left="720"/>
        <w:rPr>
          <w:rFonts w:eastAsia="Calibri"/>
        </w:rPr>
      </w:pPr>
      <w:r w:rsidRPr="00B5325D">
        <w:rPr>
          <w:rFonts w:eastAsia="Calibri"/>
        </w:rPr>
        <w:t>• A minimum of two (2) ToRs and Technical Specifications are submitted for Batch 2;</w:t>
      </w:r>
    </w:p>
    <w:p w14:paraId="32F8B800" w14:textId="77777777" w:rsidR="00B5325D" w:rsidRPr="00B5325D" w:rsidRDefault="00B5325D" w:rsidP="00B5325D">
      <w:pPr>
        <w:ind w:left="720"/>
        <w:rPr>
          <w:rFonts w:eastAsia="Calibri"/>
        </w:rPr>
      </w:pPr>
      <w:r w:rsidRPr="00B5325D">
        <w:rPr>
          <w:rFonts w:eastAsia="Calibri"/>
        </w:rPr>
        <w:lastRenderedPageBreak/>
        <w:t>• Documents clearly address additional IHIS-related systems and enabling components;</w:t>
      </w:r>
    </w:p>
    <w:p w14:paraId="0AB7AEC5" w14:textId="77777777" w:rsidR="00B5325D" w:rsidRPr="00B5325D" w:rsidRDefault="00B5325D" w:rsidP="00B5325D">
      <w:pPr>
        <w:ind w:left="720"/>
        <w:rPr>
          <w:rFonts w:eastAsia="Calibri"/>
        </w:rPr>
      </w:pPr>
      <w:r w:rsidRPr="00B5325D">
        <w:rPr>
          <w:rFonts w:eastAsia="Calibri"/>
        </w:rPr>
        <w:t>• Specifications are aligned with governance, quality-of-care, analytics, and reporting requirements;</w:t>
      </w:r>
    </w:p>
    <w:p w14:paraId="43B87C14" w14:textId="77777777" w:rsidR="00B5325D" w:rsidRPr="00B5325D" w:rsidRDefault="00B5325D" w:rsidP="00B5325D">
      <w:pPr>
        <w:ind w:left="720"/>
        <w:rPr>
          <w:rFonts w:eastAsia="Calibri"/>
        </w:rPr>
      </w:pPr>
      <w:r w:rsidRPr="00B5325D">
        <w:rPr>
          <w:rFonts w:eastAsia="Calibri"/>
        </w:rPr>
        <w:t>• All documents are procurement-ready and compliant with World Bank Standard Procurement Documents;</w:t>
      </w:r>
    </w:p>
    <w:p w14:paraId="177CF42B" w14:textId="77777777" w:rsidR="00B5325D" w:rsidRPr="00B5325D" w:rsidRDefault="00B5325D" w:rsidP="00B5325D">
      <w:pPr>
        <w:spacing w:after="120"/>
        <w:ind w:left="720"/>
        <w:rPr>
          <w:rFonts w:eastAsia="Calibri"/>
        </w:rPr>
      </w:pPr>
      <w:r w:rsidRPr="00B5325D">
        <w:rPr>
          <w:rFonts w:eastAsia="Calibri"/>
        </w:rPr>
        <w:t>• Documents are formally accepted in writing by the Client.</w:t>
      </w:r>
    </w:p>
    <w:p w14:paraId="2FAFD47D" w14:textId="77777777" w:rsidR="00B5325D" w:rsidRPr="00B5325D" w:rsidRDefault="00B5325D" w:rsidP="00B5325D">
      <w:pPr>
        <w:rPr>
          <w:rFonts w:eastAsia="Calibri"/>
          <w:b/>
          <w:bCs/>
        </w:rPr>
      </w:pPr>
      <w:r w:rsidRPr="00B5325D">
        <w:rPr>
          <w:rFonts w:eastAsia="Calibri"/>
          <w:b/>
          <w:bCs/>
        </w:rPr>
        <w:t>Milestone 6 – Capacity Building and Structured Training Program</w:t>
      </w:r>
    </w:p>
    <w:p w14:paraId="0777821A" w14:textId="77777777" w:rsidR="00B5325D" w:rsidRPr="00B5325D" w:rsidRDefault="00B5325D" w:rsidP="00B5325D">
      <w:pPr>
        <w:rPr>
          <w:rFonts w:eastAsia="Calibri"/>
        </w:rPr>
      </w:pPr>
      <w:r w:rsidRPr="00B5325D">
        <w:rPr>
          <w:rFonts w:eastAsia="Calibri"/>
          <w:b/>
          <w:bCs/>
        </w:rPr>
        <w:t>PAD Reference:</w:t>
      </w:r>
    </w:p>
    <w:p w14:paraId="0EC6C5E3" w14:textId="77777777" w:rsidR="00B5325D" w:rsidRPr="00B5325D" w:rsidRDefault="00B5325D" w:rsidP="00B5325D">
      <w:pPr>
        <w:rPr>
          <w:rFonts w:eastAsia="Calibri"/>
        </w:rPr>
      </w:pPr>
      <w:r w:rsidRPr="00B5325D">
        <w:rPr>
          <w:rFonts w:eastAsia="Calibri"/>
          <w:b/>
          <w:bCs/>
        </w:rPr>
        <w:t>Deliverables:</w:t>
      </w:r>
    </w:p>
    <w:p w14:paraId="7AA24FE8" w14:textId="77777777" w:rsidR="00B5325D" w:rsidRPr="00B5325D" w:rsidRDefault="00B5325D" w:rsidP="00CE2360">
      <w:pPr>
        <w:numPr>
          <w:ilvl w:val="0"/>
          <w:numId w:val="118"/>
        </w:numPr>
      </w:pPr>
      <w:r w:rsidRPr="00B5325D">
        <w:t>Training needs assessment related to IHIS implementation;</w:t>
      </w:r>
    </w:p>
    <w:p w14:paraId="3FE06B32" w14:textId="77777777" w:rsidR="00B5325D" w:rsidRPr="00B5325D" w:rsidRDefault="00B5325D" w:rsidP="00CE2360">
      <w:pPr>
        <w:numPr>
          <w:ilvl w:val="0"/>
          <w:numId w:val="118"/>
        </w:numPr>
      </w:pPr>
      <w:r w:rsidRPr="00B5325D">
        <w:t>Training curricula, manuals, and learning materials;</w:t>
      </w:r>
    </w:p>
    <w:p w14:paraId="1F7D3701" w14:textId="77777777" w:rsidR="00B5325D" w:rsidRPr="00B5325D" w:rsidRDefault="00B5325D" w:rsidP="00CE2360">
      <w:pPr>
        <w:numPr>
          <w:ilvl w:val="0"/>
          <w:numId w:val="118"/>
        </w:numPr>
      </w:pPr>
      <w:r w:rsidRPr="00B5325D">
        <w:t>Delivery of phased training sessions for designated stakeholders;</w:t>
      </w:r>
    </w:p>
    <w:p w14:paraId="21B3F30A" w14:textId="77777777" w:rsidR="00B5325D" w:rsidRPr="00B5325D" w:rsidRDefault="00B5325D" w:rsidP="00CE2360">
      <w:pPr>
        <w:numPr>
          <w:ilvl w:val="0"/>
          <w:numId w:val="118"/>
        </w:numPr>
      </w:pPr>
      <w:r w:rsidRPr="00B5325D">
        <w:t>Training completion and evaluation report.</w:t>
      </w:r>
    </w:p>
    <w:p w14:paraId="0F7F79AA" w14:textId="77777777" w:rsidR="00B5325D" w:rsidRPr="00B5325D" w:rsidRDefault="00B5325D" w:rsidP="00B5325D">
      <w:pPr>
        <w:rPr>
          <w:rFonts w:eastAsia="Calibri"/>
        </w:rPr>
      </w:pPr>
      <w:r w:rsidRPr="00B5325D">
        <w:rPr>
          <w:rFonts w:eastAsia="Calibri"/>
          <w:b/>
          <w:bCs/>
        </w:rPr>
        <w:t>Payment:</w:t>
      </w:r>
    </w:p>
    <w:p w14:paraId="286B169F" w14:textId="77777777" w:rsidR="00B5325D" w:rsidRPr="00B5325D" w:rsidRDefault="00B5325D" w:rsidP="00CE2360">
      <w:pPr>
        <w:numPr>
          <w:ilvl w:val="0"/>
          <w:numId w:val="119"/>
        </w:numPr>
      </w:pPr>
      <w:r w:rsidRPr="00B5325D">
        <w:rPr>
          <w:b/>
          <w:bCs/>
        </w:rPr>
        <w:t xml:space="preserve">15% of Contract Price </w:t>
      </w:r>
    </w:p>
    <w:p w14:paraId="2F4F9D84" w14:textId="77777777" w:rsidR="00B5325D" w:rsidRPr="00B5325D" w:rsidRDefault="00B5325D" w:rsidP="00CE2360">
      <w:pPr>
        <w:numPr>
          <w:ilvl w:val="0"/>
          <w:numId w:val="119"/>
        </w:numPr>
        <w:spacing w:after="120"/>
      </w:pPr>
      <w:r w:rsidRPr="00B5325D">
        <w:t>Payable upon approval of the Training Completion Report by the Client.</w:t>
      </w:r>
    </w:p>
    <w:p w14:paraId="1C5A9CEF" w14:textId="77777777" w:rsidR="00B5325D" w:rsidRPr="00B5325D" w:rsidRDefault="00B5325D" w:rsidP="00B5325D">
      <w:pPr>
        <w:rPr>
          <w:rFonts w:eastAsia="Calibri"/>
        </w:rPr>
      </w:pPr>
      <w:r w:rsidRPr="00B5325D">
        <w:rPr>
          <w:rFonts w:eastAsia="Calibri"/>
        </w:rPr>
        <w:t>Acceptance Criteria:</w:t>
      </w:r>
    </w:p>
    <w:p w14:paraId="5B433758" w14:textId="77777777" w:rsidR="00B5325D" w:rsidRPr="00B5325D" w:rsidRDefault="00B5325D" w:rsidP="00B5325D">
      <w:pPr>
        <w:ind w:left="720"/>
        <w:rPr>
          <w:rFonts w:eastAsia="Calibri"/>
        </w:rPr>
      </w:pPr>
      <w:r w:rsidRPr="00B5325D">
        <w:rPr>
          <w:rFonts w:eastAsia="Calibri"/>
        </w:rPr>
        <w:t>• Training needs assessment report is submitted and approved by the Client;</w:t>
      </w:r>
    </w:p>
    <w:p w14:paraId="3CAEFF7D" w14:textId="77777777" w:rsidR="00B5325D" w:rsidRPr="00B5325D" w:rsidRDefault="00B5325D" w:rsidP="00B5325D">
      <w:pPr>
        <w:ind w:left="720"/>
        <w:rPr>
          <w:rFonts w:eastAsia="Calibri"/>
        </w:rPr>
      </w:pPr>
      <w:r w:rsidRPr="00B5325D">
        <w:rPr>
          <w:rFonts w:eastAsia="Calibri"/>
        </w:rPr>
        <w:t>• At least three (3) training modules/curricula are developed;</w:t>
      </w:r>
    </w:p>
    <w:p w14:paraId="208C340E" w14:textId="77777777" w:rsidR="00B5325D" w:rsidRPr="00B5325D" w:rsidRDefault="00B5325D" w:rsidP="00B5325D">
      <w:pPr>
        <w:ind w:left="720"/>
        <w:rPr>
          <w:rFonts w:eastAsia="Calibri"/>
        </w:rPr>
      </w:pPr>
      <w:r w:rsidRPr="00B5325D">
        <w:rPr>
          <w:rFonts w:eastAsia="Calibri"/>
        </w:rPr>
        <w:t>• At least four (4) training sessions are delivered to designated stakeholders;</w:t>
      </w:r>
    </w:p>
    <w:p w14:paraId="3DB5C82A" w14:textId="77777777" w:rsidR="00B5325D" w:rsidRPr="00B5325D" w:rsidRDefault="00B5325D" w:rsidP="00B5325D">
      <w:pPr>
        <w:ind w:left="720"/>
        <w:rPr>
          <w:rFonts w:eastAsia="Calibri"/>
        </w:rPr>
      </w:pPr>
      <w:r w:rsidRPr="00B5325D">
        <w:rPr>
          <w:rFonts w:eastAsia="Calibri"/>
        </w:rPr>
        <w:t>• Attendance lists for all training sessions are provided;</w:t>
      </w:r>
    </w:p>
    <w:p w14:paraId="01CCCD40" w14:textId="77777777" w:rsidR="00B5325D" w:rsidRPr="00B5325D" w:rsidRDefault="00B5325D" w:rsidP="00B5325D">
      <w:pPr>
        <w:ind w:left="720"/>
        <w:rPr>
          <w:rFonts w:eastAsia="Calibri"/>
        </w:rPr>
      </w:pPr>
      <w:r w:rsidRPr="00B5325D">
        <w:rPr>
          <w:rFonts w:eastAsia="Calibri"/>
        </w:rPr>
        <w:t>• Training materials (manuals, presentations, guides) are submitted;</w:t>
      </w:r>
    </w:p>
    <w:p w14:paraId="28EAC97F" w14:textId="77777777" w:rsidR="00B5325D" w:rsidRPr="00B5325D" w:rsidRDefault="00B5325D" w:rsidP="00B5325D">
      <w:pPr>
        <w:spacing w:after="120"/>
        <w:ind w:left="720"/>
        <w:rPr>
          <w:rFonts w:eastAsia="Calibri"/>
        </w:rPr>
      </w:pPr>
      <w:r w:rsidRPr="00B5325D">
        <w:rPr>
          <w:rFonts w:eastAsia="Calibri"/>
        </w:rPr>
        <w:t>• Training completion and evaluation report is submitted and approved by the Client.</w:t>
      </w:r>
    </w:p>
    <w:p w14:paraId="5240DE49" w14:textId="77777777" w:rsidR="00B5325D" w:rsidRPr="00B5325D" w:rsidRDefault="00B5325D" w:rsidP="00B5325D">
      <w:pPr>
        <w:rPr>
          <w:rFonts w:eastAsia="Calibri"/>
          <w:b/>
          <w:bCs/>
        </w:rPr>
      </w:pPr>
      <w:r w:rsidRPr="00B5325D">
        <w:rPr>
          <w:rFonts w:eastAsia="Calibri"/>
          <w:b/>
          <w:bCs/>
        </w:rPr>
        <w:t>Milestone 7 – Ongoing Strategic Advisory, Quality Assurance, and Procurement Support</w:t>
      </w:r>
    </w:p>
    <w:p w14:paraId="1D9C7C80" w14:textId="77777777" w:rsidR="00B5325D" w:rsidRPr="00B5325D" w:rsidRDefault="00B5325D" w:rsidP="00B5325D">
      <w:pPr>
        <w:rPr>
          <w:rFonts w:eastAsia="Calibri"/>
        </w:rPr>
      </w:pPr>
      <w:r w:rsidRPr="00B5325D">
        <w:rPr>
          <w:rFonts w:eastAsia="Calibri"/>
          <w:b/>
          <w:bCs/>
        </w:rPr>
        <w:t>PAD Reference:</w:t>
      </w:r>
    </w:p>
    <w:p w14:paraId="1760F625" w14:textId="77777777" w:rsidR="00B5325D" w:rsidRPr="00B5325D" w:rsidRDefault="00B5325D" w:rsidP="00B5325D">
      <w:pPr>
        <w:rPr>
          <w:rFonts w:eastAsia="Calibri"/>
        </w:rPr>
      </w:pPr>
      <w:r w:rsidRPr="00B5325D">
        <w:rPr>
          <w:rFonts w:eastAsia="Calibri"/>
          <w:b/>
          <w:bCs/>
        </w:rPr>
        <w:t>Deliverables:</w:t>
      </w:r>
    </w:p>
    <w:p w14:paraId="7DCFB364" w14:textId="77777777" w:rsidR="00B5325D" w:rsidRPr="00B5325D" w:rsidRDefault="00B5325D" w:rsidP="00CE2360">
      <w:pPr>
        <w:numPr>
          <w:ilvl w:val="0"/>
          <w:numId w:val="120"/>
        </w:numPr>
      </w:pPr>
      <w:r w:rsidRPr="00B5325D">
        <w:t>Ongoing strategic advisory support to the Client during procurement and early implementation phases;</w:t>
      </w:r>
    </w:p>
    <w:p w14:paraId="24220E3F" w14:textId="77777777" w:rsidR="00B5325D" w:rsidRPr="00B5325D" w:rsidRDefault="00B5325D" w:rsidP="00CE2360">
      <w:pPr>
        <w:numPr>
          <w:ilvl w:val="0"/>
          <w:numId w:val="120"/>
        </w:numPr>
      </w:pPr>
      <w:r w:rsidRPr="00B5325D">
        <w:t>Quality assurance inputs for procurement documentation, technical clarifications, and implementation readiness;</w:t>
      </w:r>
    </w:p>
    <w:p w14:paraId="498957BC" w14:textId="77777777" w:rsidR="00B5325D" w:rsidRPr="00B5325D" w:rsidRDefault="00B5325D" w:rsidP="00CE2360">
      <w:pPr>
        <w:numPr>
          <w:ilvl w:val="0"/>
          <w:numId w:val="120"/>
        </w:numPr>
      </w:pPr>
      <w:r w:rsidRPr="00B5325D">
        <w:t>Periodic advisory and progress reports.</w:t>
      </w:r>
    </w:p>
    <w:p w14:paraId="34F7A0C3" w14:textId="77777777" w:rsidR="00B5325D" w:rsidRPr="00B5325D" w:rsidRDefault="00B5325D" w:rsidP="00B5325D">
      <w:pPr>
        <w:rPr>
          <w:rFonts w:eastAsia="Calibri"/>
        </w:rPr>
      </w:pPr>
      <w:r w:rsidRPr="00B5325D">
        <w:rPr>
          <w:rFonts w:eastAsia="Calibri"/>
          <w:b/>
          <w:bCs/>
        </w:rPr>
        <w:t>Payment:</w:t>
      </w:r>
    </w:p>
    <w:p w14:paraId="1ADF2E09" w14:textId="77777777" w:rsidR="00B5325D" w:rsidRPr="00B5325D" w:rsidRDefault="00B5325D" w:rsidP="00CE2360">
      <w:pPr>
        <w:numPr>
          <w:ilvl w:val="0"/>
          <w:numId w:val="121"/>
        </w:numPr>
      </w:pPr>
      <w:r w:rsidRPr="00B5325D">
        <w:rPr>
          <w:b/>
          <w:bCs/>
        </w:rPr>
        <w:t xml:space="preserve">12% of Contract Price </w:t>
      </w:r>
    </w:p>
    <w:p w14:paraId="7EF5D6E6" w14:textId="77777777" w:rsidR="00B5325D" w:rsidRPr="00B5325D" w:rsidRDefault="00B5325D" w:rsidP="00CE2360">
      <w:pPr>
        <w:numPr>
          <w:ilvl w:val="0"/>
          <w:numId w:val="121"/>
        </w:numPr>
        <w:spacing w:after="120"/>
      </w:pPr>
      <w:r w:rsidRPr="00B5325D">
        <w:t>Payable upon acceptance of periodic advisory outputs, as agreed with the Client.</w:t>
      </w:r>
    </w:p>
    <w:p w14:paraId="38422845" w14:textId="77777777" w:rsidR="00B5325D" w:rsidRPr="00B5325D" w:rsidRDefault="00B5325D" w:rsidP="00B5325D">
      <w:pPr>
        <w:rPr>
          <w:rFonts w:eastAsia="Calibri"/>
        </w:rPr>
      </w:pPr>
      <w:r w:rsidRPr="00B5325D">
        <w:rPr>
          <w:rFonts w:eastAsia="Calibri"/>
        </w:rPr>
        <w:t>Acceptance Criteria:</w:t>
      </w:r>
    </w:p>
    <w:p w14:paraId="5D0FBC80" w14:textId="77777777" w:rsidR="00B5325D" w:rsidRPr="00B5325D" w:rsidRDefault="00B5325D" w:rsidP="00B5325D">
      <w:pPr>
        <w:ind w:left="720"/>
        <w:rPr>
          <w:rFonts w:eastAsia="Calibri"/>
        </w:rPr>
      </w:pPr>
      <w:r w:rsidRPr="00B5325D">
        <w:rPr>
          <w:rFonts w:eastAsia="Calibri"/>
        </w:rPr>
        <w:t>• Minimum six (6) periodic advisory reports are submitted during the implementation period;</w:t>
      </w:r>
    </w:p>
    <w:p w14:paraId="3FBF67BF" w14:textId="77777777" w:rsidR="00B5325D" w:rsidRPr="00B5325D" w:rsidRDefault="00B5325D" w:rsidP="00B5325D">
      <w:pPr>
        <w:ind w:left="720"/>
        <w:rPr>
          <w:rFonts w:eastAsia="Calibri"/>
        </w:rPr>
      </w:pPr>
      <w:r w:rsidRPr="00B5325D">
        <w:rPr>
          <w:rFonts w:eastAsia="Calibri"/>
        </w:rPr>
        <w:t>• Written technical inputs/comments are provided for procurement documentation as requested by the Client;</w:t>
      </w:r>
    </w:p>
    <w:p w14:paraId="2CFBDDC9" w14:textId="77777777" w:rsidR="00B5325D" w:rsidRPr="00B5325D" w:rsidRDefault="00B5325D" w:rsidP="00B5325D">
      <w:pPr>
        <w:ind w:left="720"/>
        <w:rPr>
          <w:rFonts w:eastAsia="Calibri"/>
        </w:rPr>
      </w:pPr>
      <w:r w:rsidRPr="00B5325D">
        <w:rPr>
          <w:rFonts w:eastAsia="Calibri"/>
        </w:rPr>
        <w:t>• Participation in up to ten (10) coordination meetings is completed and documented (virtual or in-person);</w:t>
      </w:r>
    </w:p>
    <w:p w14:paraId="557821DD" w14:textId="77777777" w:rsidR="00B5325D" w:rsidRPr="00B5325D" w:rsidRDefault="00B5325D" w:rsidP="00B5325D">
      <w:pPr>
        <w:ind w:left="720"/>
        <w:rPr>
          <w:rFonts w:eastAsia="Calibri"/>
        </w:rPr>
      </w:pPr>
      <w:r w:rsidRPr="00B5325D">
        <w:rPr>
          <w:rFonts w:eastAsia="Calibri"/>
        </w:rPr>
        <w:t>• All quality assurance inputs are provided in written form (e.g. tracked changes, memos, or formal comments);</w:t>
      </w:r>
    </w:p>
    <w:p w14:paraId="7CB7FDD0" w14:textId="77777777" w:rsidR="00B5325D" w:rsidRPr="00B5325D" w:rsidRDefault="00B5325D" w:rsidP="00B5325D">
      <w:pPr>
        <w:spacing w:after="120"/>
        <w:ind w:left="720"/>
        <w:rPr>
          <w:rFonts w:eastAsia="Calibri"/>
        </w:rPr>
      </w:pPr>
      <w:r w:rsidRPr="00B5325D">
        <w:rPr>
          <w:rFonts w:eastAsia="Calibri"/>
        </w:rPr>
        <w:t>• Each advisory output is acknowledged in writing by the Client.</w:t>
      </w:r>
    </w:p>
    <w:p w14:paraId="39910F4C" w14:textId="77777777" w:rsidR="00B5325D" w:rsidRPr="00B5325D" w:rsidRDefault="00B5325D" w:rsidP="00B5325D">
      <w:pPr>
        <w:rPr>
          <w:rFonts w:eastAsia="Calibri"/>
          <w:b/>
          <w:bCs/>
        </w:rPr>
      </w:pPr>
      <w:r w:rsidRPr="00B5325D">
        <w:rPr>
          <w:rFonts w:eastAsia="Calibri"/>
          <w:b/>
          <w:bCs/>
        </w:rPr>
        <w:lastRenderedPageBreak/>
        <w:t>Milestone 8 – Final Advisory, Knowledge Transfer, and Contract Closure</w:t>
      </w:r>
    </w:p>
    <w:p w14:paraId="0D049E78" w14:textId="77777777" w:rsidR="00B5325D" w:rsidRPr="00B5325D" w:rsidRDefault="00B5325D" w:rsidP="00B5325D">
      <w:pPr>
        <w:rPr>
          <w:rFonts w:eastAsia="Calibri"/>
        </w:rPr>
      </w:pPr>
      <w:r w:rsidRPr="00B5325D">
        <w:rPr>
          <w:rFonts w:eastAsia="Calibri"/>
          <w:b/>
          <w:bCs/>
        </w:rPr>
        <w:t>PAD Reference:</w:t>
      </w:r>
    </w:p>
    <w:p w14:paraId="05401C7E" w14:textId="77777777" w:rsidR="00B5325D" w:rsidRPr="00B5325D" w:rsidRDefault="00B5325D" w:rsidP="00B5325D">
      <w:pPr>
        <w:rPr>
          <w:rFonts w:eastAsia="Calibri"/>
        </w:rPr>
      </w:pPr>
      <w:r w:rsidRPr="00B5325D">
        <w:rPr>
          <w:rFonts w:eastAsia="Calibri"/>
          <w:b/>
          <w:bCs/>
        </w:rPr>
        <w:t>Deliverables:</w:t>
      </w:r>
    </w:p>
    <w:p w14:paraId="0791B869" w14:textId="77777777" w:rsidR="00B5325D" w:rsidRPr="00B5325D" w:rsidRDefault="00B5325D" w:rsidP="00CE2360">
      <w:pPr>
        <w:numPr>
          <w:ilvl w:val="0"/>
          <w:numId w:val="122"/>
        </w:numPr>
      </w:pPr>
      <w:r w:rsidRPr="00B5325D">
        <w:t>Final consolidated advisory report;</w:t>
      </w:r>
    </w:p>
    <w:p w14:paraId="7C5C552E" w14:textId="77777777" w:rsidR="00B5325D" w:rsidRPr="00B5325D" w:rsidRDefault="00B5325D" w:rsidP="00CE2360">
      <w:pPr>
        <w:numPr>
          <w:ilvl w:val="0"/>
          <w:numId w:val="122"/>
        </w:numPr>
      </w:pPr>
      <w:r w:rsidRPr="00B5325D">
        <w:t>Knowledge-transfer and handover documentation;</w:t>
      </w:r>
    </w:p>
    <w:p w14:paraId="7D3CB906" w14:textId="77777777" w:rsidR="00B5325D" w:rsidRPr="00B5325D" w:rsidRDefault="00B5325D" w:rsidP="00CE2360">
      <w:pPr>
        <w:numPr>
          <w:ilvl w:val="0"/>
          <w:numId w:val="122"/>
        </w:numPr>
      </w:pPr>
      <w:r w:rsidRPr="00B5325D">
        <w:t>Lessons learned and recommendations for sustainability and scale-up of IHIS implementation.</w:t>
      </w:r>
    </w:p>
    <w:p w14:paraId="1D930A00" w14:textId="77777777" w:rsidR="00B5325D" w:rsidRPr="00B5325D" w:rsidRDefault="00B5325D" w:rsidP="00B5325D">
      <w:pPr>
        <w:rPr>
          <w:rFonts w:eastAsia="Calibri"/>
        </w:rPr>
      </w:pPr>
      <w:r w:rsidRPr="00B5325D">
        <w:rPr>
          <w:rFonts w:eastAsia="Calibri"/>
          <w:b/>
          <w:bCs/>
        </w:rPr>
        <w:t>Payment:</w:t>
      </w:r>
    </w:p>
    <w:p w14:paraId="2CF36E5A" w14:textId="77777777" w:rsidR="00B5325D" w:rsidRPr="00B5325D" w:rsidRDefault="00B5325D" w:rsidP="00CE2360">
      <w:pPr>
        <w:numPr>
          <w:ilvl w:val="0"/>
          <w:numId w:val="123"/>
        </w:numPr>
      </w:pPr>
      <w:r w:rsidRPr="00B5325D">
        <w:rPr>
          <w:b/>
          <w:bCs/>
        </w:rPr>
        <w:t xml:space="preserve">5% of Contract Price </w:t>
      </w:r>
    </w:p>
    <w:p w14:paraId="11DD500F" w14:textId="77777777" w:rsidR="00B5325D" w:rsidRPr="00B5325D" w:rsidRDefault="00B5325D" w:rsidP="00CE2360">
      <w:pPr>
        <w:numPr>
          <w:ilvl w:val="0"/>
          <w:numId w:val="123"/>
        </w:numPr>
        <w:spacing w:after="120"/>
      </w:pPr>
      <w:r w:rsidRPr="00B5325D">
        <w:t>Payable upon final acceptance of all Contract deliverables.</w:t>
      </w:r>
    </w:p>
    <w:p w14:paraId="72550F5C" w14:textId="77777777" w:rsidR="00B5325D" w:rsidRPr="00B5325D" w:rsidRDefault="00B5325D" w:rsidP="00C12588">
      <w:pPr>
        <w:spacing w:after="120"/>
        <w:rPr>
          <w:rFonts w:eastAsia="Calibri"/>
          <w:lang w:val="sq-AL"/>
        </w:rPr>
      </w:pPr>
      <w:r w:rsidRPr="00B5325D">
        <w:rPr>
          <w:rFonts w:eastAsia="Calibri"/>
          <w:lang w:val="sq-AL"/>
        </w:rPr>
        <w:t>Acceptance Criteria:</w:t>
      </w:r>
    </w:p>
    <w:p w14:paraId="443B3A4D" w14:textId="467273FC" w:rsidR="00B5325D" w:rsidRPr="00C12588" w:rsidRDefault="00B5325D" w:rsidP="00CE2360">
      <w:pPr>
        <w:pStyle w:val="ListParagraph"/>
        <w:numPr>
          <w:ilvl w:val="0"/>
          <w:numId w:val="133"/>
        </w:numPr>
        <w:jc w:val="both"/>
        <w:rPr>
          <w:rFonts w:ascii="Times New Roman" w:eastAsia="Calibri" w:hAnsi="Times New Roman" w:cs="Times New Roman"/>
          <w:sz w:val="24"/>
          <w:lang w:val="sq-AL"/>
        </w:rPr>
      </w:pPr>
      <w:r w:rsidRPr="00C12588">
        <w:rPr>
          <w:rFonts w:ascii="Times New Roman" w:eastAsia="Calibri" w:hAnsi="Times New Roman" w:cs="Times New Roman"/>
          <w:sz w:val="24"/>
          <w:lang w:val="sq-AL"/>
        </w:rPr>
        <w:t>Final consolidated advisory report is submitted in complete and coherent form;</w:t>
      </w:r>
    </w:p>
    <w:p w14:paraId="2F387BCF" w14:textId="06C4DC43" w:rsidR="00B5325D" w:rsidRPr="00C12588" w:rsidRDefault="00B5325D" w:rsidP="00CE2360">
      <w:pPr>
        <w:pStyle w:val="ListParagraph"/>
        <w:numPr>
          <w:ilvl w:val="0"/>
          <w:numId w:val="133"/>
        </w:numPr>
        <w:jc w:val="both"/>
        <w:rPr>
          <w:rFonts w:ascii="Times New Roman" w:eastAsia="Calibri" w:hAnsi="Times New Roman" w:cs="Times New Roman"/>
          <w:sz w:val="24"/>
          <w:lang w:val="sq-AL"/>
        </w:rPr>
      </w:pPr>
      <w:r w:rsidRPr="00C12588">
        <w:rPr>
          <w:rFonts w:ascii="Times New Roman" w:eastAsia="Calibri" w:hAnsi="Times New Roman" w:cs="Times New Roman"/>
          <w:sz w:val="24"/>
          <w:lang w:val="sq-AL"/>
        </w:rPr>
        <w:t>Knowledge transfer and handover documentation is fully delivered to the Client;</w:t>
      </w:r>
    </w:p>
    <w:p w14:paraId="24F273E4" w14:textId="2B831C38" w:rsidR="00B5325D" w:rsidRPr="00C12588" w:rsidRDefault="00B5325D" w:rsidP="00CE2360">
      <w:pPr>
        <w:pStyle w:val="ListParagraph"/>
        <w:numPr>
          <w:ilvl w:val="0"/>
          <w:numId w:val="133"/>
        </w:numPr>
        <w:jc w:val="both"/>
        <w:rPr>
          <w:rFonts w:ascii="Times New Roman" w:eastAsia="Calibri" w:hAnsi="Times New Roman" w:cs="Times New Roman"/>
          <w:sz w:val="24"/>
          <w:lang w:val="sq-AL"/>
        </w:rPr>
      </w:pPr>
      <w:r w:rsidRPr="00C12588">
        <w:rPr>
          <w:rFonts w:ascii="Times New Roman" w:eastAsia="Calibri" w:hAnsi="Times New Roman" w:cs="Times New Roman"/>
          <w:sz w:val="24"/>
          <w:lang w:val="sq-AL"/>
        </w:rPr>
        <w:t>Lessons learned and sustainability recommendations are clearly documented and actionable;</w:t>
      </w:r>
    </w:p>
    <w:p w14:paraId="0454B471" w14:textId="60CA8E1C" w:rsidR="00B5325D" w:rsidRPr="00C12588" w:rsidRDefault="00B5325D" w:rsidP="00CE2360">
      <w:pPr>
        <w:pStyle w:val="ListParagraph"/>
        <w:numPr>
          <w:ilvl w:val="0"/>
          <w:numId w:val="133"/>
        </w:numPr>
        <w:jc w:val="both"/>
        <w:rPr>
          <w:rFonts w:ascii="Times New Roman" w:eastAsia="Calibri" w:hAnsi="Times New Roman" w:cs="Times New Roman"/>
          <w:sz w:val="24"/>
          <w:lang w:val="sq-AL"/>
        </w:rPr>
      </w:pPr>
      <w:r w:rsidRPr="00C12588">
        <w:rPr>
          <w:rFonts w:ascii="Times New Roman" w:eastAsia="Calibri" w:hAnsi="Times New Roman" w:cs="Times New Roman"/>
          <w:sz w:val="24"/>
          <w:lang w:val="sq-AL"/>
        </w:rPr>
        <w:t>All outputs are formally reviewed and accepted in writing by the Client;</w:t>
      </w:r>
    </w:p>
    <w:p w14:paraId="409B18E2" w14:textId="741DED55" w:rsidR="00B5325D" w:rsidRPr="00C12588" w:rsidRDefault="00B5325D" w:rsidP="00CE2360">
      <w:pPr>
        <w:pStyle w:val="ListParagraph"/>
        <w:numPr>
          <w:ilvl w:val="0"/>
          <w:numId w:val="133"/>
        </w:numPr>
        <w:spacing w:after="120"/>
        <w:jc w:val="both"/>
        <w:rPr>
          <w:rFonts w:ascii="Times New Roman" w:eastAsia="Calibri" w:hAnsi="Times New Roman" w:cs="Times New Roman"/>
          <w:sz w:val="24"/>
          <w:lang w:val="sq-AL"/>
        </w:rPr>
      </w:pPr>
      <w:r w:rsidRPr="00C12588">
        <w:rPr>
          <w:rFonts w:ascii="Times New Roman" w:eastAsia="Calibri" w:hAnsi="Times New Roman" w:cs="Times New Roman"/>
          <w:sz w:val="24"/>
          <w:lang w:val="sq-AL"/>
        </w:rPr>
        <w:t>Confirmation that all Contract deliverables under previous milestones have been completed and closed.</w:t>
      </w:r>
    </w:p>
    <w:p w14:paraId="19167B08" w14:textId="77777777" w:rsidR="00B5325D" w:rsidRPr="00B5325D" w:rsidRDefault="00B5325D" w:rsidP="00B5325D">
      <w:pPr>
        <w:rPr>
          <w:rFonts w:eastAsia="Calibri"/>
          <w:b/>
          <w:bCs/>
        </w:rPr>
      </w:pPr>
      <w:r w:rsidRPr="00B5325D">
        <w:rPr>
          <w:rFonts w:eastAsia="Calibri"/>
          <w:b/>
          <w:bCs/>
        </w:rPr>
        <w:t>C. Summary of Payments</w:t>
      </w:r>
    </w:p>
    <w:tbl>
      <w:tblPr>
        <w:tblW w:w="6475" w:type="dxa"/>
        <w:tblCellSpacing w:w="22" w:type="dxa"/>
        <w:tblCellMar>
          <w:left w:w="0" w:type="dxa"/>
          <w:right w:w="0" w:type="dxa"/>
        </w:tblCellMar>
        <w:tblLook w:val="04A0" w:firstRow="1" w:lastRow="0" w:firstColumn="1" w:lastColumn="0" w:noHBand="0" w:noVBand="1"/>
      </w:tblPr>
      <w:tblGrid>
        <w:gridCol w:w="5093"/>
        <w:gridCol w:w="1382"/>
      </w:tblGrid>
      <w:tr w:rsidR="00B5325D" w:rsidRPr="00B5325D" w14:paraId="52D31151" w14:textId="77777777" w:rsidTr="004036C8">
        <w:trPr>
          <w:trHeight w:val="238"/>
          <w:tblHeader/>
          <w:tblCellSpacing w:w="22" w:type="dxa"/>
        </w:trPr>
        <w:tc>
          <w:tcPr>
            <w:tcW w:w="0" w:type="auto"/>
            <w:tcMar>
              <w:top w:w="15" w:type="dxa"/>
              <w:left w:w="15" w:type="dxa"/>
              <w:bottom w:w="15" w:type="dxa"/>
              <w:right w:w="15" w:type="dxa"/>
            </w:tcMar>
            <w:vAlign w:val="center"/>
            <w:hideMark/>
          </w:tcPr>
          <w:p w14:paraId="0E7AAF16" w14:textId="77777777" w:rsidR="00B5325D" w:rsidRPr="00B5325D" w:rsidRDefault="00B5325D" w:rsidP="00B5325D">
            <w:pPr>
              <w:rPr>
                <w:rFonts w:eastAsia="Calibri"/>
                <w:b/>
                <w:bCs/>
              </w:rPr>
            </w:pPr>
            <w:r w:rsidRPr="00B5325D">
              <w:rPr>
                <w:rFonts w:eastAsia="Calibri"/>
                <w:b/>
                <w:bCs/>
              </w:rPr>
              <w:t>Milestone</w:t>
            </w:r>
          </w:p>
        </w:tc>
        <w:tc>
          <w:tcPr>
            <w:tcW w:w="0" w:type="auto"/>
            <w:tcMar>
              <w:top w:w="15" w:type="dxa"/>
              <w:left w:w="15" w:type="dxa"/>
              <w:bottom w:w="15" w:type="dxa"/>
              <w:right w:w="15" w:type="dxa"/>
            </w:tcMar>
            <w:vAlign w:val="center"/>
            <w:hideMark/>
          </w:tcPr>
          <w:p w14:paraId="139B95EB" w14:textId="77777777" w:rsidR="00B5325D" w:rsidRPr="00B5325D" w:rsidRDefault="00B5325D" w:rsidP="00B5325D">
            <w:pPr>
              <w:rPr>
                <w:rFonts w:eastAsia="Calibri"/>
                <w:b/>
                <w:bCs/>
              </w:rPr>
            </w:pPr>
            <w:r w:rsidRPr="00B5325D">
              <w:rPr>
                <w:rFonts w:eastAsia="Calibri"/>
                <w:b/>
                <w:bCs/>
              </w:rPr>
              <w:t>Percentage</w:t>
            </w:r>
          </w:p>
        </w:tc>
      </w:tr>
      <w:tr w:rsidR="00B5325D" w:rsidRPr="00B5325D" w14:paraId="362BDDA4" w14:textId="77777777" w:rsidTr="004036C8">
        <w:trPr>
          <w:trHeight w:val="251"/>
          <w:tblCellSpacing w:w="22" w:type="dxa"/>
        </w:trPr>
        <w:tc>
          <w:tcPr>
            <w:tcW w:w="0" w:type="auto"/>
            <w:tcMar>
              <w:top w:w="15" w:type="dxa"/>
              <w:left w:w="15" w:type="dxa"/>
              <w:bottom w:w="15" w:type="dxa"/>
              <w:right w:w="15" w:type="dxa"/>
            </w:tcMar>
            <w:vAlign w:val="center"/>
            <w:hideMark/>
          </w:tcPr>
          <w:p w14:paraId="064C2C11" w14:textId="77777777" w:rsidR="00B5325D" w:rsidRPr="00B5325D" w:rsidRDefault="00B5325D" w:rsidP="00B5325D">
            <w:pPr>
              <w:rPr>
                <w:rFonts w:eastAsia="Calibri"/>
              </w:rPr>
            </w:pPr>
            <w:r w:rsidRPr="00B5325D">
              <w:rPr>
                <w:rFonts w:eastAsia="Calibri"/>
              </w:rPr>
              <w:t>Milestone 1 – Inception</w:t>
            </w:r>
          </w:p>
        </w:tc>
        <w:tc>
          <w:tcPr>
            <w:tcW w:w="0" w:type="auto"/>
            <w:tcMar>
              <w:top w:w="15" w:type="dxa"/>
              <w:left w:w="15" w:type="dxa"/>
              <w:bottom w:w="15" w:type="dxa"/>
              <w:right w:w="15" w:type="dxa"/>
            </w:tcMar>
            <w:vAlign w:val="center"/>
            <w:hideMark/>
          </w:tcPr>
          <w:p w14:paraId="33434146" w14:textId="77777777" w:rsidR="00B5325D" w:rsidRPr="00B5325D" w:rsidRDefault="00B5325D" w:rsidP="00B5325D">
            <w:pPr>
              <w:rPr>
                <w:rFonts w:eastAsia="Calibri"/>
              </w:rPr>
            </w:pPr>
            <w:r w:rsidRPr="00B5325D">
              <w:rPr>
                <w:rFonts w:eastAsia="Calibri"/>
              </w:rPr>
              <w:t>8%</w:t>
            </w:r>
          </w:p>
        </w:tc>
      </w:tr>
      <w:tr w:rsidR="00B5325D" w:rsidRPr="00B5325D" w14:paraId="68B74BB6" w14:textId="77777777" w:rsidTr="004036C8">
        <w:trPr>
          <w:trHeight w:val="251"/>
          <w:tblCellSpacing w:w="22" w:type="dxa"/>
        </w:trPr>
        <w:tc>
          <w:tcPr>
            <w:tcW w:w="0" w:type="auto"/>
            <w:tcMar>
              <w:top w:w="15" w:type="dxa"/>
              <w:left w:w="15" w:type="dxa"/>
              <w:bottom w:w="15" w:type="dxa"/>
              <w:right w:w="15" w:type="dxa"/>
            </w:tcMar>
            <w:vAlign w:val="center"/>
            <w:hideMark/>
          </w:tcPr>
          <w:p w14:paraId="4BE2B3CB" w14:textId="77777777" w:rsidR="00B5325D" w:rsidRPr="00B5325D" w:rsidRDefault="00B5325D" w:rsidP="00B5325D">
            <w:pPr>
              <w:rPr>
                <w:rFonts w:eastAsia="Calibri"/>
              </w:rPr>
            </w:pPr>
            <w:r w:rsidRPr="00B5325D">
              <w:rPr>
                <w:rFonts w:eastAsia="Calibri"/>
              </w:rPr>
              <w:t>Milestone 2 – Assessment</w:t>
            </w:r>
          </w:p>
        </w:tc>
        <w:tc>
          <w:tcPr>
            <w:tcW w:w="0" w:type="auto"/>
            <w:tcMar>
              <w:top w:w="15" w:type="dxa"/>
              <w:left w:w="15" w:type="dxa"/>
              <w:bottom w:w="15" w:type="dxa"/>
              <w:right w:w="15" w:type="dxa"/>
            </w:tcMar>
            <w:vAlign w:val="center"/>
            <w:hideMark/>
          </w:tcPr>
          <w:p w14:paraId="53185D12" w14:textId="77777777" w:rsidR="00B5325D" w:rsidRPr="00B5325D" w:rsidRDefault="00B5325D" w:rsidP="00B5325D">
            <w:pPr>
              <w:rPr>
                <w:rFonts w:eastAsia="Calibri"/>
              </w:rPr>
            </w:pPr>
            <w:r w:rsidRPr="00B5325D">
              <w:rPr>
                <w:rFonts w:eastAsia="Calibri"/>
              </w:rPr>
              <w:t>12%</w:t>
            </w:r>
          </w:p>
        </w:tc>
      </w:tr>
      <w:tr w:rsidR="00B5325D" w:rsidRPr="00B5325D" w14:paraId="5DF44456" w14:textId="77777777" w:rsidTr="004036C8">
        <w:trPr>
          <w:trHeight w:val="251"/>
          <w:tblCellSpacing w:w="22" w:type="dxa"/>
        </w:trPr>
        <w:tc>
          <w:tcPr>
            <w:tcW w:w="0" w:type="auto"/>
            <w:tcMar>
              <w:top w:w="15" w:type="dxa"/>
              <w:left w:w="15" w:type="dxa"/>
              <w:bottom w:w="15" w:type="dxa"/>
              <w:right w:w="15" w:type="dxa"/>
            </w:tcMar>
            <w:vAlign w:val="center"/>
            <w:hideMark/>
          </w:tcPr>
          <w:p w14:paraId="5AE06C98" w14:textId="77777777" w:rsidR="00B5325D" w:rsidRPr="00B5325D" w:rsidRDefault="00B5325D" w:rsidP="00B5325D">
            <w:pPr>
              <w:rPr>
                <w:rFonts w:eastAsia="Calibri"/>
              </w:rPr>
            </w:pPr>
            <w:r w:rsidRPr="00B5325D">
              <w:rPr>
                <w:rFonts w:eastAsia="Calibri"/>
              </w:rPr>
              <w:t>Milestone 3 – Draft ToRs (Batch 1)</w:t>
            </w:r>
          </w:p>
        </w:tc>
        <w:tc>
          <w:tcPr>
            <w:tcW w:w="0" w:type="auto"/>
            <w:tcMar>
              <w:top w:w="15" w:type="dxa"/>
              <w:left w:w="15" w:type="dxa"/>
              <w:bottom w:w="15" w:type="dxa"/>
              <w:right w:w="15" w:type="dxa"/>
            </w:tcMar>
            <w:vAlign w:val="center"/>
            <w:hideMark/>
          </w:tcPr>
          <w:p w14:paraId="6EB2D723" w14:textId="77777777" w:rsidR="00B5325D" w:rsidRPr="00B5325D" w:rsidRDefault="00B5325D" w:rsidP="00B5325D">
            <w:pPr>
              <w:rPr>
                <w:rFonts w:eastAsia="Calibri"/>
              </w:rPr>
            </w:pPr>
            <w:r w:rsidRPr="00B5325D">
              <w:rPr>
                <w:rFonts w:eastAsia="Calibri"/>
              </w:rPr>
              <w:t>18%</w:t>
            </w:r>
          </w:p>
        </w:tc>
      </w:tr>
      <w:tr w:rsidR="00B5325D" w:rsidRPr="00B5325D" w14:paraId="6B4FC4D5" w14:textId="77777777" w:rsidTr="004036C8">
        <w:trPr>
          <w:trHeight w:val="251"/>
          <w:tblCellSpacing w:w="22" w:type="dxa"/>
        </w:trPr>
        <w:tc>
          <w:tcPr>
            <w:tcW w:w="0" w:type="auto"/>
            <w:tcMar>
              <w:top w:w="15" w:type="dxa"/>
              <w:left w:w="15" w:type="dxa"/>
              <w:bottom w:w="15" w:type="dxa"/>
              <w:right w:w="15" w:type="dxa"/>
            </w:tcMar>
            <w:vAlign w:val="center"/>
            <w:hideMark/>
          </w:tcPr>
          <w:p w14:paraId="7EEE835C" w14:textId="77777777" w:rsidR="00B5325D" w:rsidRPr="00B5325D" w:rsidRDefault="00B5325D" w:rsidP="00B5325D">
            <w:pPr>
              <w:rPr>
                <w:rFonts w:eastAsia="Calibri"/>
              </w:rPr>
            </w:pPr>
            <w:r w:rsidRPr="00B5325D">
              <w:rPr>
                <w:rFonts w:eastAsia="Calibri"/>
              </w:rPr>
              <w:t>Milestone 4 – Final ToRs (Batch 1)</w:t>
            </w:r>
          </w:p>
        </w:tc>
        <w:tc>
          <w:tcPr>
            <w:tcW w:w="0" w:type="auto"/>
            <w:tcMar>
              <w:top w:w="15" w:type="dxa"/>
              <w:left w:w="15" w:type="dxa"/>
              <w:bottom w:w="15" w:type="dxa"/>
              <w:right w:w="15" w:type="dxa"/>
            </w:tcMar>
            <w:vAlign w:val="center"/>
            <w:hideMark/>
          </w:tcPr>
          <w:p w14:paraId="1F3264BF" w14:textId="77777777" w:rsidR="00B5325D" w:rsidRPr="00B5325D" w:rsidRDefault="00B5325D" w:rsidP="00B5325D">
            <w:pPr>
              <w:rPr>
                <w:rFonts w:eastAsia="Calibri"/>
              </w:rPr>
            </w:pPr>
            <w:r w:rsidRPr="00B5325D">
              <w:rPr>
                <w:rFonts w:eastAsia="Calibri"/>
              </w:rPr>
              <w:t>15%</w:t>
            </w:r>
          </w:p>
        </w:tc>
      </w:tr>
      <w:tr w:rsidR="00B5325D" w:rsidRPr="00B5325D" w14:paraId="348236D7" w14:textId="77777777" w:rsidTr="004036C8">
        <w:trPr>
          <w:trHeight w:val="238"/>
          <w:tblCellSpacing w:w="22" w:type="dxa"/>
        </w:trPr>
        <w:tc>
          <w:tcPr>
            <w:tcW w:w="0" w:type="auto"/>
            <w:tcMar>
              <w:top w:w="15" w:type="dxa"/>
              <w:left w:w="15" w:type="dxa"/>
              <w:bottom w:w="15" w:type="dxa"/>
              <w:right w:w="15" w:type="dxa"/>
            </w:tcMar>
            <w:vAlign w:val="center"/>
            <w:hideMark/>
          </w:tcPr>
          <w:p w14:paraId="6E3F0A39" w14:textId="77777777" w:rsidR="00B5325D" w:rsidRPr="00B5325D" w:rsidRDefault="00B5325D" w:rsidP="00B5325D">
            <w:pPr>
              <w:rPr>
                <w:rFonts w:eastAsia="Calibri"/>
              </w:rPr>
            </w:pPr>
            <w:r w:rsidRPr="00B5325D">
              <w:rPr>
                <w:rFonts w:eastAsia="Calibri"/>
              </w:rPr>
              <w:t>Milestone 5 – ToRs (Batch 2)</w:t>
            </w:r>
          </w:p>
        </w:tc>
        <w:tc>
          <w:tcPr>
            <w:tcW w:w="0" w:type="auto"/>
            <w:tcMar>
              <w:top w:w="15" w:type="dxa"/>
              <w:left w:w="15" w:type="dxa"/>
              <w:bottom w:w="15" w:type="dxa"/>
              <w:right w:w="15" w:type="dxa"/>
            </w:tcMar>
            <w:vAlign w:val="center"/>
            <w:hideMark/>
          </w:tcPr>
          <w:p w14:paraId="03782DD0" w14:textId="77777777" w:rsidR="00B5325D" w:rsidRPr="00B5325D" w:rsidRDefault="00B5325D" w:rsidP="00B5325D">
            <w:pPr>
              <w:rPr>
                <w:rFonts w:eastAsia="Calibri"/>
              </w:rPr>
            </w:pPr>
            <w:r w:rsidRPr="00B5325D">
              <w:rPr>
                <w:rFonts w:eastAsia="Calibri"/>
              </w:rPr>
              <w:t>15%</w:t>
            </w:r>
          </w:p>
        </w:tc>
      </w:tr>
      <w:tr w:rsidR="00B5325D" w:rsidRPr="00B5325D" w14:paraId="0BF9208F" w14:textId="77777777" w:rsidTr="004036C8">
        <w:trPr>
          <w:trHeight w:val="251"/>
          <w:tblCellSpacing w:w="22" w:type="dxa"/>
        </w:trPr>
        <w:tc>
          <w:tcPr>
            <w:tcW w:w="0" w:type="auto"/>
            <w:tcMar>
              <w:top w:w="15" w:type="dxa"/>
              <w:left w:w="15" w:type="dxa"/>
              <w:bottom w:w="15" w:type="dxa"/>
              <w:right w:w="15" w:type="dxa"/>
            </w:tcMar>
            <w:vAlign w:val="center"/>
            <w:hideMark/>
          </w:tcPr>
          <w:p w14:paraId="027EAB61" w14:textId="77777777" w:rsidR="00B5325D" w:rsidRPr="00B5325D" w:rsidRDefault="00B5325D" w:rsidP="00B5325D">
            <w:pPr>
              <w:rPr>
                <w:rFonts w:eastAsia="Calibri"/>
              </w:rPr>
            </w:pPr>
            <w:r w:rsidRPr="00B5325D">
              <w:rPr>
                <w:rFonts w:eastAsia="Calibri"/>
              </w:rPr>
              <w:t>Milestone 6 – Training</w:t>
            </w:r>
          </w:p>
        </w:tc>
        <w:tc>
          <w:tcPr>
            <w:tcW w:w="0" w:type="auto"/>
            <w:tcMar>
              <w:top w:w="15" w:type="dxa"/>
              <w:left w:w="15" w:type="dxa"/>
              <w:bottom w:w="15" w:type="dxa"/>
              <w:right w:w="15" w:type="dxa"/>
            </w:tcMar>
            <w:vAlign w:val="center"/>
            <w:hideMark/>
          </w:tcPr>
          <w:p w14:paraId="50815079" w14:textId="77777777" w:rsidR="00B5325D" w:rsidRPr="00B5325D" w:rsidRDefault="00B5325D" w:rsidP="00B5325D">
            <w:pPr>
              <w:rPr>
                <w:rFonts w:eastAsia="Calibri"/>
              </w:rPr>
            </w:pPr>
            <w:r w:rsidRPr="00B5325D">
              <w:rPr>
                <w:rFonts w:eastAsia="Calibri"/>
              </w:rPr>
              <w:t>15%</w:t>
            </w:r>
          </w:p>
        </w:tc>
      </w:tr>
      <w:tr w:rsidR="00B5325D" w:rsidRPr="00B5325D" w14:paraId="3C699B43" w14:textId="77777777" w:rsidTr="004036C8">
        <w:trPr>
          <w:trHeight w:val="251"/>
          <w:tblCellSpacing w:w="22" w:type="dxa"/>
        </w:trPr>
        <w:tc>
          <w:tcPr>
            <w:tcW w:w="0" w:type="auto"/>
            <w:tcMar>
              <w:top w:w="15" w:type="dxa"/>
              <w:left w:w="15" w:type="dxa"/>
              <w:bottom w:w="15" w:type="dxa"/>
              <w:right w:w="15" w:type="dxa"/>
            </w:tcMar>
            <w:vAlign w:val="center"/>
            <w:hideMark/>
          </w:tcPr>
          <w:p w14:paraId="6F62B5F5" w14:textId="77777777" w:rsidR="00B5325D" w:rsidRPr="00B5325D" w:rsidRDefault="00B5325D" w:rsidP="00B5325D">
            <w:pPr>
              <w:rPr>
                <w:rFonts w:eastAsia="Calibri"/>
              </w:rPr>
            </w:pPr>
            <w:r w:rsidRPr="00B5325D">
              <w:rPr>
                <w:rFonts w:eastAsia="Calibri"/>
              </w:rPr>
              <w:t>Milestone 7 – Strategic Advisory &amp; QA</w:t>
            </w:r>
          </w:p>
        </w:tc>
        <w:tc>
          <w:tcPr>
            <w:tcW w:w="0" w:type="auto"/>
            <w:tcMar>
              <w:top w:w="15" w:type="dxa"/>
              <w:left w:w="15" w:type="dxa"/>
              <w:bottom w:w="15" w:type="dxa"/>
              <w:right w:w="15" w:type="dxa"/>
            </w:tcMar>
            <w:vAlign w:val="center"/>
            <w:hideMark/>
          </w:tcPr>
          <w:p w14:paraId="38EB780F" w14:textId="77777777" w:rsidR="00B5325D" w:rsidRPr="00B5325D" w:rsidRDefault="00B5325D" w:rsidP="00B5325D">
            <w:pPr>
              <w:rPr>
                <w:rFonts w:eastAsia="Calibri"/>
              </w:rPr>
            </w:pPr>
            <w:r w:rsidRPr="00B5325D">
              <w:rPr>
                <w:rFonts w:eastAsia="Calibri"/>
              </w:rPr>
              <w:t>12%</w:t>
            </w:r>
          </w:p>
        </w:tc>
      </w:tr>
      <w:tr w:rsidR="00B5325D" w:rsidRPr="00B5325D" w14:paraId="6519666E" w14:textId="77777777" w:rsidTr="004036C8">
        <w:trPr>
          <w:trHeight w:val="251"/>
          <w:tblCellSpacing w:w="22" w:type="dxa"/>
        </w:trPr>
        <w:tc>
          <w:tcPr>
            <w:tcW w:w="0" w:type="auto"/>
            <w:tcMar>
              <w:top w:w="15" w:type="dxa"/>
              <w:left w:w="15" w:type="dxa"/>
              <w:bottom w:w="15" w:type="dxa"/>
              <w:right w:w="15" w:type="dxa"/>
            </w:tcMar>
            <w:vAlign w:val="center"/>
            <w:hideMark/>
          </w:tcPr>
          <w:p w14:paraId="3A761B94" w14:textId="77777777" w:rsidR="00B5325D" w:rsidRPr="00B5325D" w:rsidRDefault="00B5325D" w:rsidP="00B5325D">
            <w:pPr>
              <w:rPr>
                <w:rFonts w:eastAsia="Calibri"/>
              </w:rPr>
            </w:pPr>
            <w:r w:rsidRPr="00B5325D">
              <w:rPr>
                <w:rFonts w:eastAsia="Calibri"/>
              </w:rPr>
              <w:t>Milestone 8 – Closure &amp; Knowledge Transfer</w:t>
            </w:r>
          </w:p>
        </w:tc>
        <w:tc>
          <w:tcPr>
            <w:tcW w:w="0" w:type="auto"/>
            <w:tcMar>
              <w:top w:w="15" w:type="dxa"/>
              <w:left w:w="15" w:type="dxa"/>
              <w:bottom w:w="15" w:type="dxa"/>
              <w:right w:w="15" w:type="dxa"/>
            </w:tcMar>
            <w:vAlign w:val="center"/>
            <w:hideMark/>
          </w:tcPr>
          <w:p w14:paraId="600CC61E" w14:textId="77777777" w:rsidR="00B5325D" w:rsidRPr="00B5325D" w:rsidRDefault="00B5325D" w:rsidP="00B5325D">
            <w:pPr>
              <w:rPr>
                <w:rFonts w:eastAsia="Calibri"/>
              </w:rPr>
            </w:pPr>
            <w:r w:rsidRPr="00B5325D">
              <w:rPr>
                <w:rFonts w:eastAsia="Calibri"/>
              </w:rPr>
              <w:t>5%</w:t>
            </w:r>
          </w:p>
        </w:tc>
      </w:tr>
      <w:tr w:rsidR="00B5325D" w:rsidRPr="00B5325D" w14:paraId="2BCECB10" w14:textId="77777777" w:rsidTr="004036C8">
        <w:trPr>
          <w:trHeight w:val="238"/>
          <w:tblCellSpacing w:w="22" w:type="dxa"/>
        </w:trPr>
        <w:tc>
          <w:tcPr>
            <w:tcW w:w="0" w:type="auto"/>
            <w:tcMar>
              <w:top w:w="15" w:type="dxa"/>
              <w:left w:w="15" w:type="dxa"/>
              <w:bottom w:w="15" w:type="dxa"/>
              <w:right w:w="15" w:type="dxa"/>
            </w:tcMar>
            <w:vAlign w:val="center"/>
            <w:hideMark/>
          </w:tcPr>
          <w:p w14:paraId="1A7B7BA1" w14:textId="77777777" w:rsidR="00B5325D" w:rsidRPr="00B5325D" w:rsidRDefault="00B5325D" w:rsidP="00B5325D">
            <w:pPr>
              <w:rPr>
                <w:rFonts w:eastAsia="Calibri"/>
              </w:rPr>
            </w:pPr>
            <w:r w:rsidRPr="00B5325D">
              <w:rPr>
                <w:rFonts w:eastAsia="Calibri"/>
                <w:b/>
                <w:bCs/>
              </w:rPr>
              <w:t>Total</w:t>
            </w:r>
          </w:p>
        </w:tc>
        <w:tc>
          <w:tcPr>
            <w:tcW w:w="0" w:type="auto"/>
            <w:tcMar>
              <w:top w:w="15" w:type="dxa"/>
              <w:left w:w="15" w:type="dxa"/>
              <w:bottom w:w="15" w:type="dxa"/>
              <w:right w:w="15" w:type="dxa"/>
            </w:tcMar>
            <w:vAlign w:val="center"/>
            <w:hideMark/>
          </w:tcPr>
          <w:p w14:paraId="0E429806" w14:textId="77777777" w:rsidR="00B5325D" w:rsidRPr="00B5325D" w:rsidRDefault="00B5325D" w:rsidP="00B5325D">
            <w:pPr>
              <w:rPr>
                <w:rFonts w:eastAsia="Calibri"/>
              </w:rPr>
            </w:pPr>
            <w:r w:rsidRPr="00B5325D">
              <w:rPr>
                <w:rFonts w:eastAsia="Calibri"/>
                <w:b/>
                <w:bCs/>
              </w:rPr>
              <w:t>100%</w:t>
            </w:r>
          </w:p>
        </w:tc>
      </w:tr>
    </w:tbl>
    <w:p w14:paraId="3750F716" w14:textId="77777777" w:rsidR="00B5325D" w:rsidRPr="00B5325D" w:rsidRDefault="00B5325D" w:rsidP="00B5325D">
      <w:pPr>
        <w:rPr>
          <w:b/>
          <w:bCs/>
        </w:rPr>
      </w:pPr>
      <w:r w:rsidRPr="00B5325D">
        <w:rPr>
          <w:b/>
          <w:bCs/>
        </w:rPr>
        <w:t>7. ANNEXES</w:t>
      </w:r>
    </w:p>
    <w:p w14:paraId="3823CB67" w14:textId="77777777" w:rsidR="00B5325D" w:rsidRPr="00B5325D" w:rsidRDefault="00B5325D" w:rsidP="00B5325D">
      <w:pPr>
        <w:rPr>
          <w:b/>
          <w:bCs/>
        </w:rPr>
      </w:pPr>
      <w:r w:rsidRPr="00B5325D">
        <w:t>Rationale: Full Annex documents are not attached because they are already defined in the feasibility study, the 2024–2030 Blueprint, and other source materials. Bullet points summarize the key content for SDHP’s reference. All Annexes (A–E) are intended as reference/input documents for SDHP’s work and do not require separate deliverables.</w:t>
      </w:r>
    </w:p>
    <w:p w14:paraId="503F020A" w14:textId="77777777" w:rsidR="00B5325D" w:rsidRPr="00B5325D" w:rsidRDefault="00B5325D" w:rsidP="00B5325D">
      <w:pPr>
        <w:rPr>
          <w:b/>
          <w:bCs/>
        </w:rPr>
      </w:pPr>
      <w:r w:rsidRPr="00B5325D">
        <w:rPr>
          <w:b/>
          <w:bCs/>
        </w:rPr>
        <w:t>7.1 Annex A – IHIS Architecture Overview</w:t>
      </w:r>
    </w:p>
    <w:p w14:paraId="1C3E0863" w14:textId="77777777" w:rsidR="00B5325D" w:rsidRPr="00B5325D" w:rsidRDefault="00B5325D" w:rsidP="00CE2360">
      <w:pPr>
        <w:numPr>
          <w:ilvl w:val="0"/>
          <w:numId w:val="50"/>
        </w:numPr>
        <w:spacing w:after="160" w:line="259" w:lineRule="auto"/>
      </w:pPr>
      <w:r w:rsidRPr="00B5325D">
        <w:t>Describes the proposed IHIS architecture based on OpenHIE and the 2024–2030 Blueprint, including:</w:t>
      </w:r>
    </w:p>
    <w:p w14:paraId="12D46DC6" w14:textId="77777777" w:rsidR="00B5325D" w:rsidRPr="00B5325D" w:rsidRDefault="00B5325D" w:rsidP="00CE2360">
      <w:pPr>
        <w:numPr>
          <w:ilvl w:val="1"/>
          <w:numId w:val="104"/>
        </w:numPr>
        <w:spacing w:after="160" w:line="259" w:lineRule="auto"/>
        <w:contextualSpacing/>
      </w:pPr>
      <w:r w:rsidRPr="00B5325D">
        <w:t>Client Registry;</w:t>
      </w:r>
    </w:p>
    <w:p w14:paraId="7A83F40E" w14:textId="77777777" w:rsidR="00B5325D" w:rsidRPr="00B5325D" w:rsidRDefault="00B5325D" w:rsidP="00CE2360">
      <w:pPr>
        <w:numPr>
          <w:ilvl w:val="1"/>
          <w:numId w:val="104"/>
        </w:numPr>
        <w:spacing w:after="160" w:line="259" w:lineRule="auto"/>
        <w:contextualSpacing/>
      </w:pPr>
      <w:r w:rsidRPr="00B5325D">
        <w:t>Facility Registry;</w:t>
      </w:r>
    </w:p>
    <w:p w14:paraId="3336C6F5" w14:textId="77777777" w:rsidR="00B5325D" w:rsidRPr="00B5325D" w:rsidRDefault="00B5325D" w:rsidP="00CE2360">
      <w:pPr>
        <w:numPr>
          <w:ilvl w:val="1"/>
          <w:numId w:val="104"/>
        </w:numPr>
        <w:spacing w:after="160" w:line="259" w:lineRule="auto"/>
        <w:contextualSpacing/>
      </w:pPr>
      <w:r w:rsidRPr="00B5325D">
        <w:t>Health Worker Registry;</w:t>
      </w:r>
    </w:p>
    <w:p w14:paraId="577B60DF" w14:textId="77777777" w:rsidR="00B5325D" w:rsidRPr="00B5325D" w:rsidRDefault="00B5325D" w:rsidP="00CE2360">
      <w:pPr>
        <w:numPr>
          <w:ilvl w:val="1"/>
          <w:numId w:val="104"/>
        </w:numPr>
        <w:spacing w:after="160" w:line="259" w:lineRule="auto"/>
        <w:contextualSpacing/>
      </w:pPr>
      <w:r w:rsidRPr="00B5325D">
        <w:t>Drug Registry;</w:t>
      </w:r>
    </w:p>
    <w:p w14:paraId="334029DF" w14:textId="77777777" w:rsidR="00B5325D" w:rsidRPr="00B5325D" w:rsidRDefault="00B5325D" w:rsidP="00CE2360">
      <w:pPr>
        <w:numPr>
          <w:ilvl w:val="1"/>
          <w:numId w:val="104"/>
        </w:numPr>
        <w:spacing w:after="160" w:line="259" w:lineRule="auto"/>
        <w:contextualSpacing/>
      </w:pPr>
      <w:r w:rsidRPr="00B5325D">
        <w:lastRenderedPageBreak/>
        <w:t>Terminology Service;</w:t>
      </w:r>
    </w:p>
    <w:p w14:paraId="3F932834" w14:textId="77777777" w:rsidR="00B5325D" w:rsidRPr="00B5325D" w:rsidRDefault="00B5325D" w:rsidP="00CE2360">
      <w:pPr>
        <w:numPr>
          <w:ilvl w:val="1"/>
          <w:numId w:val="104"/>
        </w:numPr>
        <w:spacing w:after="160" w:line="259" w:lineRule="auto"/>
        <w:contextualSpacing/>
      </w:pPr>
      <w:r w:rsidRPr="00B5325D">
        <w:t>Shared Health Record (SHR);</w:t>
      </w:r>
    </w:p>
    <w:p w14:paraId="0B7A24B7" w14:textId="77777777" w:rsidR="00B5325D" w:rsidRPr="00B5325D" w:rsidRDefault="00B5325D" w:rsidP="00CE2360">
      <w:pPr>
        <w:numPr>
          <w:ilvl w:val="1"/>
          <w:numId w:val="104"/>
        </w:numPr>
        <w:spacing w:after="160" w:line="259" w:lineRule="auto"/>
        <w:contextualSpacing/>
      </w:pPr>
      <w:r w:rsidRPr="00B5325D">
        <w:t>Interoperability Layer (IL);</w:t>
      </w:r>
    </w:p>
    <w:p w14:paraId="67DF4171" w14:textId="77777777" w:rsidR="00B5325D" w:rsidRPr="00B5325D" w:rsidRDefault="00B5325D" w:rsidP="00CE2360">
      <w:pPr>
        <w:numPr>
          <w:ilvl w:val="1"/>
          <w:numId w:val="104"/>
        </w:numPr>
        <w:spacing w:after="160" w:line="259" w:lineRule="auto"/>
        <w:contextualSpacing/>
      </w:pPr>
      <w:r w:rsidRPr="00B5325D">
        <w:t>POS systems and clinical workflows.</w:t>
      </w:r>
    </w:p>
    <w:p w14:paraId="7ADE7865" w14:textId="77777777" w:rsidR="00B5325D" w:rsidRPr="00B5325D" w:rsidRDefault="00B5325D" w:rsidP="00CE2360">
      <w:pPr>
        <w:numPr>
          <w:ilvl w:val="0"/>
          <w:numId w:val="50"/>
        </w:numPr>
        <w:spacing w:after="160" w:line="259" w:lineRule="auto"/>
      </w:pPr>
      <w:r w:rsidRPr="00B5325D">
        <w:t>Presents data flows, FHIR/IHE standards and IL transaction flows, ensuring modularity, scalability and avoidance of vendor lock-in.</w:t>
      </w:r>
    </w:p>
    <w:p w14:paraId="43BDAD8E" w14:textId="77777777" w:rsidR="00B5325D" w:rsidRPr="00B5325D" w:rsidRDefault="00B5325D" w:rsidP="00B5325D">
      <w:pPr>
        <w:rPr>
          <w:b/>
          <w:bCs/>
        </w:rPr>
      </w:pPr>
      <w:r w:rsidRPr="00B5325D">
        <w:rPr>
          <w:b/>
          <w:bCs/>
        </w:rPr>
        <w:t>7.2 Annex B – Roles &amp; Responsibilities Matrix</w:t>
      </w:r>
    </w:p>
    <w:p w14:paraId="5EB80BF5" w14:textId="77777777" w:rsidR="00B5325D" w:rsidRPr="00B5325D" w:rsidRDefault="00B5325D" w:rsidP="00CE2360">
      <w:pPr>
        <w:numPr>
          <w:ilvl w:val="0"/>
          <w:numId w:val="51"/>
        </w:numPr>
        <w:spacing w:after="160" w:line="259" w:lineRule="auto"/>
      </w:pPr>
      <w:r w:rsidRPr="00B5325D">
        <w:t>Defines roles of:</w:t>
      </w:r>
    </w:p>
    <w:p w14:paraId="55AF9B02" w14:textId="77777777" w:rsidR="00B5325D" w:rsidRPr="00B5325D" w:rsidRDefault="00B5325D" w:rsidP="00CE2360">
      <w:pPr>
        <w:numPr>
          <w:ilvl w:val="1"/>
          <w:numId w:val="105"/>
        </w:numPr>
        <w:spacing w:after="160" w:line="259" w:lineRule="auto"/>
        <w:contextualSpacing/>
      </w:pPr>
      <w:r w:rsidRPr="00B5325D">
        <w:t>MoH/MDPA/Kosovo Digital Health Steering Committee – strategic governance and oversight;</w:t>
      </w:r>
    </w:p>
    <w:p w14:paraId="4CDA6FDF" w14:textId="77777777" w:rsidR="00B5325D" w:rsidRPr="00B5325D" w:rsidRDefault="00B5325D" w:rsidP="00CE2360">
      <w:pPr>
        <w:numPr>
          <w:ilvl w:val="1"/>
          <w:numId w:val="105"/>
        </w:numPr>
        <w:spacing w:after="160" w:line="259" w:lineRule="auto"/>
        <w:contextualSpacing/>
      </w:pPr>
      <w:r w:rsidRPr="00B5325D">
        <w:t>DSISH/MDPA – technical lead, architecture validation, QA/QC, vendor coordination;</w:t>
      </w:r>
    </w:p>
    <w:p w14:paraId="7302972C" w14:textId="77777777" w:rsidR="00B5325D" w:rsidRPr="00B5325D" w:rsidRDefault="00B5325D" w:rsidP="00CE2360">
      <w:pPr>
        <w:numPr>
          <w:ilvl w:val="1"/>
          <w:numId w:val="105"/>
        </w:numPr>
        <w:spacing w:after="160" w:line="259" w:lineRule="auto"/>
        <w:contextualSpacing/>
      </w:pPr>
      <w:r w:rsidRPr="00B5325D">
        <w:t>PIU – contract and financial management, communication with World Bank;</w:t>
      </w:r>
    </w:p>
    <w:p w14:paraId="456E7908" w14:textId="77777777" w:rsidR="00B5325D" w:rsidRPr="00B5325D" w:rsidRDefault="00B5325D" w:rsidP="00CE2360">
      <w:pPr>
        <w:numPr>
          <w:ilvl w:val="1"/>
          <w:numId w:val="105"/>
        </w:numPr>
        <w:spacing w:after="160" w:line="259" w:lineRule="auto"/>
        <w:contextualSpacing/>
      </w:pPr>
      <w:r w:rsidRPr="00B5325D">
        <w:t>SDHP – technical advisory, QA/QC, SLA monitoring, IG development;</w:t>
      </w:r>
    </w:p>
    <w:p w14:paraId="3A260019" w14:textId="77777777" w:rsidR="00B5325D" w:rsidRPr="00B5325D" w:rsidRDefault="00B5325D" w:rsidP="00CE2360">
      <w:pPr>
        <w:numPr>
          <w:ilvl w:val="1"/>
          <w:numId w:val="105"/>
        </w:numPr>
        <w:spacing w:after="160" w:line="259" w:lineRule="auto"/>
        <w:contextualSpacing/>
        <w:rPr>
          <w:b/>
          <w:bCs/>
        </w:rPr>
      </w:pPr>
      <w:r w:rsidRPr="00B5325D">
        <w:t>Vendors – development, testing, documentation, implementation.</w:t>
      </w:r>
    </w:p>
    <w:p w14:paraId="5EDE90E7" w14:textId="77777777" w:rsidR="00B5325D" w:rsidRPr="00B5325D" w:rsidRDefault="00B5325D" w:rsidP="00B5325D">
      <w:pPr>
        <w:rPr>
          <w:b/>
          <w:bCs/>
        </w:rPr>
      </w:pPr>
      <w:r w:rsidRPr="00B5325D">
        <w:rPr>
          <w:b/>
          <w:bCs/>
        </w:rPr>
        <w:t>7.3 Annex C – QA &amp; QC Framework</w:t>
      </w:r>
    </w:p>
    <w:p w14:paraId="1B69D53F" w14:textId="77777777" w:rsidR="00B5325D" w:rsidRPr="00B5325D" w:rsidRDefault="00B5325D" w:rsidP="00CE2360">
      <w:pPr>
        <w:numPr>
          <w:ilvl w:val="0"/>
          <w:numId w:val="52"/>
        </w:numPr>
        <w:spacing w:after="160" w:line="259" w:lineRule="auto"/>
      </w:pPr>
      <w:r w:rsidRPr="00B5325D">
        <w:t>Details QA/QC standards and processes:</w:t>
      </w:r>
    </w:p>
    <w:p w14:paraId="462697DF" w14:textId="77777777" w:rsidR="00B5325D" w:rsidRPr="00B5325D" w:rsidRDefault="00B5325D" w:rsidP="00CE2360">
      <w:pPr>
        <w:numPr>
          <w:ilvl w:val="1"/>
          <w:numId w:val="106"/>
        </w:numPr>
        <w:spacing w:after="160" w:line="259" w:lineRule="auto"/>
        <w:contextualSpacing/>
      </w:pPr>
      <w:r w:rsidRPr="00B5325D">
        <w:t>QA: functionality, integration, security, performance;</w:t>
      </w:r>
    </w:p>
    <w:p w14:paraId="519D1283" w14:textId="77777777" w:rsidR="00B5325D" w:rsidRPr="00B5325D" w:rsidRDefault="00B5325D" w:rsidP="00CE2360">
      <w:pPr>
        <w:numPr>
          <w:ilvl w:val="1"/>
          <w:numId w:val="106"/>
        </w:numPr>
        <w:spacing w:after="160" w:line="259" w:lineRule="auto"/>
        <w:contextualSpacing/>
      </w:pPr>
      <w:r w:rsidRPr="00B5325D">
        <w:t>QC: verification of deliverables, APIs, IGs, test logs;</w:t>
      </w:r>
    </w:p>
    <w:p w14:paraId="11DC16E4" w14:textId="77777777" w:rsidR="00B5325D" w:rsidRPr="00B5325D" w:rsidRDefault="00B5325D" w:rsidP="00CE2360">
      <w:pPr>
        <w:numPr>
          <w:ilvl w:val="1"/>
          <w:numId w:val="106"/>
        </w:numPr>
        <w:spacing w:after="160" w:line="259" w:lineRule="auto"/>
        <w:contextualSpacing/>
      </w:pPr>
      <w:r w:rsidRPr="00B5325D">
        <w:t>Test-cases using FHIR TestScript;</w:t>
      </w:r>
    </w:p>
    <w:p w14:paraId="4366E080" w14:textId="77777777" w:rsidR="00B5325D" w:rsidRPr="00B5325D" w:rsidRDefault="00B5325D" w:rsidP="00CE2360">
      <w:pPr>
        <w:numPr>
          <w:ilvl w:val="1"/>
          <w:numId w:val="106"/>
        </w:numPr>
        <w:spacing w:after="160" w:line="259" w:lineRule="auto"/>
        <w:contextualSpacing/>
      </w:pPr>
      <w:r w:rsidRPr="00B5325D">
        <w:t>IHE Gazelle testing and conformance validation;</w:t>
      </w:r>
    </w:p>
    <w:p w14:paraId="5CBF66C4" w14:textId="77777777" w:rsidR="00B5325D" w:rsidRPr="00B5325D" w:rsidRDefault="00B5325D" w:rsidP="00CE2360">
      <w:pPr>
        <w:numPr>
          <w:ilvl w:val="1"/>
          <w:numId w:val="106"/>
        </w:numPr>
        <w:spacing w:after="160" w:line="259" w:lineRule="auto"/>
        <w:contextualSpacing/>
      </w:pPr>
      <w:r w:rsidRPr="00B5325D">
        <w:t>Full documentation of test results.</w:t>
      </w:r>
    </w:p>
    <w:p w14:paraId="35D645FE" w14:textId="77777777" w:rsidR="00B5325D" w:rsidRPr="00B5325D" w:rsidRDefault="00B5325D" w:rsidP="00B5325D">
      <w:pPr>
        <w:rPr>
          <w:b/>
          <w:bCs/>
        </w:rPr>
      </w:pPr>
      <w:r w:rsidRPr="00B5325D">
        <w:rPr>
          <w:b/>
          <w:bCs/>
        </w:rPr>
        <w:t>7.4 Annex D – Risk Matrix</w:t>
      </w:r>
    </w:p>
    <w:p w14:paraId="7848047A" w14:textId="77777777" w:rsidR="00B5325D" w:rsidRPr="00B5325D" w:rsidRDefault="00B5325D" w:rsidP="00CE2360">
      <w:pPr>
        <w:numPr>
          <w:ilvl w:val="0"/>
          <w:numId w:val="53"/>
        </w:numPr>
        <w:spacing w:after="160" w:line="259" w:lineRule="auto"/>
      </w:pPr>
      <w:r w:rsidRPr="00B5325D">
        <w:t>Provides a risk matrix covering:</w:t>
      </w:r>
    </w:p>
    <w:p w14:paraId="7DE0A90A" w14:textId="77777777" w:rsidR="00B5325D" w:rsidRPr="00B5325D" w:rsidRDefault="00B5325D" w:rsidP="00CE2360">
      <w:pPr>
        <w:numPr>
          <w:ilvl w:val="1"/>
          <w:numId w:val="107"/>
        </w:numPr>
        <w:spacing w:after="160" w:line="259" w:lineRule="auto"/>
        <w:contextualSpacing/>
      </w:pPr>
      <w:r w:rsidRPr="00B5325D">
        <w:t>Technical, operational, governance and procurement risks;</w:t>
      </w:r>
    </w:p>
    <w:p w14:paraId="2EC1D40D" w14:textId="77777777" w:rsidR="00B5325D" w:rsidRPr="00B5325D" w:rsidRDefault="00B5325D" w:rsidP="00CE2360">
      <w:pPr>
        <w:numPr>
          <w:ilvl w:val="1"/>
          <w:numId w:val="107"/>
        </w:numPr>
        <w:spacing w:after="160" w:line="259" w:lineRule="auto"/>
        <w:contextualSpacing/>
      </w:pPr>
      <w:r w:rsidRPr="00B5325D">
        <w:t>Probability, impact, mitigation measures and institutional responsibility;</w:t>
      </w:r>
    </w:p>
    <w:p w14:paraId="5CF0D475" w14:textId="77777777" w:rsidR="00B5325D" w:rsidRPr="00B5325D" w:rsidRDefault="00B5325D" w:rsidP="00CE2360">
      <w:pPr>
        <w:numPr>
          <w:ilvl w:val="1"/>
          <w:numId w:val="107"/>
        </w:numPr>
        <w:spacing w:after="160" w:line="259" w:lineRule="auto"/>
        <w:contextualSpacing/>
      </w:pPr>
      <w:r w:rsidRPr="00B5325D">
        <w:t>Structured Risk Register to be maintained throughout the project.</w:t>
      </w:r>
    </w:p>
    <w:p w14:paraId="1E136F43" w14:textId="77777777" w:rsidR="00B5325D" w:rsidRPr="00B5325D" w:rsidRDefault="00B5325D" w:rsidP="00B5325D">
      <w:pPr>
        <w:rPr>
          <w:b/>
          <w:bCs/>
        </w:rPr>
      </w:pPr>
      <w:r w:rsidRPr="00B5325D">
        <w:rPr>
          <w:b/>
          <w:bCs/>
        </w:rPr>
        <w:t>7.5 Annex E – Deliverables Matrix / Acceptance Criteria</w:t>
      </w:r>
    </w:p>
    <w:p w14:paraId="6AA02040" w14:textId="77777777" w:rsidR="00B5325D" w:rsidRPr="00B5325D" w:rsidRDefault="00B5325D" w:rsidP="00CE2360">
      <w:pPr>
        <w:numPr>
          <w:ilvl w:val="0"/>
          <w:numId w:val="54"/>
        </w:numPr>
        <w:spacing w:after="160" w:line="259" w:lineRule="auto"/>
      </w:pPr>
      <w:r w:rsidRPr="00B5325D">
        <w:t>For each deliverable, defines:</w:t>
      </w:r>
    </w:p>
    <w:p w14:paraId="1C0218F6" w14:textId="77777777" w:rsidR="00B5325D" w:rsidRPr="00B5325D" w:rsidRDefault="00B5325D" w:rsidP="00CE2360">
      <w:pPr>
        <w:numPr>
          <w:ilvl w:val="1"/>
          <w:numId w:val="108"/>
        </w:numPr>
        <w:spacing w:after="160" w:line="259" w:lineRule="auto"/>
        <w:contextualSpacing/>
      </w:pPr>
      <w:r w:rsidRPr="00B5325D">
        <w:t>Description;</w:t>
      </w:r>
    </w:p>
    <w:p w14:paraId="17844373" w14:textId="77777777" w:rsidR="00B5325D" w:rsidRPr="00B5325D" w:rsidRDefault="00B5325D" w:rsidP="00CE2360">
      <w:pPr>
        <w:numPr>
          <w:ilvl w:val="1"/>
          <w:numId w:val="108"/>
        </w:numPr>
        <w:spacing w:after="160" w:line="259" w:lineRule="auto"/>
        <w:contextualSpacing/>
      </w:pPr>
      <w:r w:rsidRPr="00B5325D">
        <w:t>Responsible institutions (preparation and verification);</w:t>
      </w:r>
    </w:p>
    <w:p w14:paraId="481C6174" w14:textId="77777777" w:rsidR="00B5325D" w:rsidRPr="00B5325D" w:rsidRDefault="00B5325D" w:rsidP="00CE2360">
      <w:pPr>
        <w:numPr>
          <w:ilvl w:val="1"/>
          <w:numId w:val="108"/>
        </w:numPr>
        <w:spacing w:after="160" w:line="259" w:lineRule="auto"/>
        <w:contextualSpacing/>
      </w:pPr>
      <w:r w:rsidRPr="00B5325D">
        <w:t>Acceptance criteria;</w:t>
      </w:r>
    </w:p>
    <w:p w14:paraId="03D36E58" w14:textId="77777777" w:rsidR="00B5325D" w:rsidRPr="00B5325D" w:rsidRDefault="00B5325D" w:rsidP="00CE2360">
      <w:pPr>
        <w:numPr>
          <w:ilvl w:val="1"/>
          <w:numId w:val="108"/>
        </w:numPr>
        <w:spacing w:after="160" w:line="259" w:lineRule="auto"/>
        <w:contextualSpacing/>
      </w:pPr>
      <w:r w:rsidRPr="00B5325D">
        <w:t>Applicable standards/references (FHIR, IHE, Blueprint, etc.);</w:t>
      </w:r>
    </w:p>
    <w:p w14:paraId="613CD938" w14:textId="77777777" w:rsidR="00B5325D" w:rsidRPr="00B5325D" w:rsidRDefault="00B5325D" w:rsidP="00CE2360">
      <w:pPr>
        <w:numPr>
          <w:ilvl w:val="1"/>
          <w:numId w:val="108"/>
        </w:numPr>
        <w:spacing w:after="160" w:line="259" w:lineRule="auto"/>
        <w:contextualSpacing/>
      </w:pPr>
      <w:r w:rsidRPr="00B5325D">
        <w:t>Supporting documentation.</w:t>
      </w:r>
    </w:p>
    <w:p w14:paraId="76661C79" w14:textId="77777777" w:rsidR="00B5325D" w:rsidRPr="00B5325D" w:rsidRDefault="00B5325D" w:rsidP="00B5325D">
      <w:pPr>
        <w:rPr>
          <w:b/>
          <w:bCs/>
        </w:rPr>
      </w:pPr>
    </w:p>
    <w:p w14:paraId="465F33B6" w14:textId="77777777" w:rsidR="00B5325D" w:rsidRPr="00B5325D" w:rsidRDefault="00B5325D" w:rsidP="00B5325D">
      <w:pPr>
        <w:rPr>
          <w:b/>
          <w:bCs/>
        </w:rPr>
      </w:pPr>
      <w:r w:rsidRPr="00B5325D">
        <w:rPr>
          <w:b/>
          <w:bCs/>
        </w:rPr>
        <w:t>7.6 Annex F – Glossary</w:t>
      </w:r>
    </w:p>
    <w:p w14:paraId="4D4F9A5E" w14:textId="77777777" w:rsidR="00B5325D" w:rsidRPr="00B5325D" w:rsidRDefault="00B5325D" w:rsidP="00CE2360">
      <w:pPr>
        <w:numPr>
          <w:ilvl w:val="0"/>
          <w:numId w:val="56"/>
        </w:numPr>
        <w:spacing w:after="160" w:line="259" w:lineRule="auto"/>
      </w:pPr>
      <w:r w:rsidRPr="00B5325D">
        <w:t>Provides definitions for key terms such as:</w:t>
      </w:r>
    </w:p>
    <w:p w14:paraId="01E1EC68" w14:textId="77777777" w:rsidR="00B5325D" w:rsidRPr="00B5325D" w:rsidRDefault="00B5325D" w:rsidP="00CE2360">
      <w:pPr>
        <w:numPr>
          <w:ilvl w:val="1"/>
          <w:numId w:val="110"/>
        </w:numPr>
        <w:spacing w:after="160" w:line="259" w:lineRule="auto"/>
        <w:contextualSpacing/>
      </w:pPr>
      <w:r w:rsidRPr="00B5325D">
        <w:t>SDHP - Strategic Digital Health Partner</w:t>
      </w:r>
    </w:p>
    <w:p w14:paraId="5337069B" w14:textId="77777777" w:rsidR="00B5325D" w:rsidRPr="00B5325D" w:rsidRDefault="00B5325D" w:rsidP="00CE2360">
      <w:pPr>
        <w:numPr>
          <w:ilvl w:val="1"/>
          <w:numId w:val="110"/>
        </w:numPr>
        <w:spacing w:after="160" w:line="259" w:lineRule="auto"/>
        <w:contextualSpacing/>
      </w:pPr>
      <w:r w:rsidRPr="00B5325D">
        <w:t>IHIS - Integrated Health Information System</w:t>
      </w:r>
    </w:p>
    <w:p w14:paraId="01054454" w14:textId="77777777" w:rsidR="00B5325D" w:rsidRPr="00B5325D" w:rsidRDefault="00B5325D" w:rsidP="00CE2360">
      <w:pPr>
        <w:numPr>
          <w:ilvl w:val="1"/>
          <w:numId w:val="110"/>
        </w:numPr>
        <w:spacing w:after="160" w:line="259" w:lineRule="auto"/>
        <w:contextualSpacing/>
      </w:pPr>
      <w:r w:rsidRPr="00B5325D">
        <w:t xml:space="preserve">DSISH - Department for Health Information Systems </w:t>
      </w:r>
    </w:p>
    <w:p w14:paraId="421AF0BB" w14:textId="77777777" w:rsidR="00B5325D" w:rsidRPr="00B5325D" w:rsidRDefault="00B5325D" w:rsidP="00CE2360">
      <w:pPr>
        <w:numPr>
          <w:ilvl w:val="1"/>
          <w:numId w:val="110"/>
        </w:numPr>
        <w:spacing w:after="160" w:line="259" w:lineRule="auto"/>
        <w:contextualSpacing/>
      </w:pPr>
      <w:r w:rsidRPr="00B5325D">
        <w:lastRenderedPageBreak/>
        <w:t>MDPA - Ministry of Digitalization and Public Administration</w:t>
      </w:r>
    </w:p>
    <w:p w14:paraId="1E9201D7" w14:textId="77777777" w:rsidR="00B5325D" w:rsidRPr="00B5325D" w:rsidRDefault="00B5325D" w:rsidP="00CE2360">
      <w:pPr>
        <w:numPr>
          <w:ilvl w:val="1"/>
          <w:numId w:val="110"/>
        </w:numPr>
        <w:spacing w:after="160" w:line="259" w:lineRule="auto"/>
        <w:contextualSpacing/>
      </w:pPr>
      <w:r w:rsidRPr="00B5325D">
        <w:t>FHIR – Fast Healthcare Interoperability Resources;</w:t>
      </w:r>
    </w:p>
    <w:p w14:paraId="625D541E" w14:textId="77777777" w:rsidR="00B5325D" w:rsidRPr="00B5325D" w:rsidRDefault="00B5325D" w:rsidP="00CE2360">
      <w:pPr>
        <w:numPr>
          <w:ilvl w:val="1"/>
          <w:numId w:val="110"/>
        </w:numPr>
        <w:spacing w:after="160" w:line="259" w:lineRule="auto"/>
        <w:contextualSpacing/>
      </w:pPr>
      <w:r w:rsidRPr="00B5325D">
        <w:t>IHE – Integrating the Healthcare Enterprise;</w:t>
      </w:r>
    </w:p>
    <w:p w14:paraId="3170F9E3" w14:textId="77777777" w:rsidR="00B5325D" w:rsidRPr="00B5325D" w:rsidRDefault="00B5325D" w:rsidP="00CE2360">
      <w:pPr>
        <w:numPr>
          <w:ilvl w:val="1"/>
          <w:numId w:val="110"/>
        </w:numPr>
        <w:spacing w:after="160" w:line="259" w:lineRule="auto"/>
        <w:contextualSpacing/>
      </w:pPr>
      <w:r w:rsidRPr="00B5325D">
        <w:t>SHR – Shared Health Record;</w:t>
      </w:r>
    </w:p>
    <w:p w14:paraId="562F3E06" w14:textId="77777777" w:rsidR="00B5325D" w:rsidRPr="00B5325D" w:rsidRDefault="00B5325D" w:rsidP="00CE2360">
      <w:pPr>
        <w:numPr>
          <w:ilvl w:val="1"/>
          <w:numId w:val="110"/>
        </w:numPr>
        <w:spacing w:after="160" w:line="259" w:lineRule="auto"/>
        <w:contextualSpacing/>
      </w:pPr>
      <w:r w:rsidRPr="00B5325D">
        <w:t>IL – Interoperability Layer;</w:t>
      </w:r>
    </w:p>
    <w:p w14:paraId="6D6B4DBC" w14:textId="77777777" w:rsidR="00B5325D" w:rsidRPr="00B5325D" w:rsidRDefault="00B5325D" w:rsidP="00CE2360">
      <w:pPr>
        <w:numPr>
          <w:ilvl w:val="1"/>
          <w:numId w:val="110"/>
        </w:numPr>
        <w:spacing w:after="160" w:line="259" w:lineRule="auto"/>
        <w:contextualSpacing/>
      </w:pPr>
      <w:r w:rsidRPr="00B5325D">
        <w:t>CR – Client Registry;</w:t>
      </w:r>
    </w:p>
    <w:p w14:paraId="4892122B" w14:textId="77777777" w:rsidR="00B5325D" w:rsidRPr="00B5325D" w:rsidRDefault="00B5325D" w:rsidP="00CE2360">
      <w:pPr>
        <w:numPr>
          <w:ilvl w:val="1"/>
          <w:numId w:val="110"/>
        </w:numPr>
        <w:spacing w:after="160" w:line="259" w:lineRule="auto"/>
        <w:contextualSpacing/>
      </w:pPr>
      <w:r w:rsidRPr="00B5325D">
        <w:t>FR – Facility Registry;</w:t>
      </w:r>
    </w:p>
    <w:p w14:paraId="26CFD29D" w14:textId="77777777" w:rsidR="00B5325D" w:rsidRPr="00B5325D" w:rsidRDefault="00B5325D" w:rsidP="00CE2360">
      <w:pPr>
        <w:numPr>
          <w:ilvl w:val="1"/>
          <w:numId w:val="110"/>
        </w:numPr>
        <w:spacing w:after="160" w:line="259" w:lineRule="auto"/>
        <w:contextualSpacing/>
      </w:pPr>
      <w:r w:rsidRPr="00B5325D">
        <w:t>HWR – Health Worker Registry;</w:t>
      </w:r>
    </w:p>
    <w:p w14:paraId="0DCFA675" w14:textId="77777777" w:rsidR="00B5325D" w:rsidRPr="00B5325D" w:rsidRDefault="00B5325D" w:rsidP="00CE2360">
      <w:pPr>
        <w:numPr>
          <w:ilvl w:val="1"/>
          <w:numId w:val="110"/>
        </w:numPr>
        <w:spacing w:after="160" w:line="259" w:lineRule="auto"/>
        <w:contextualSpacing/>
      </w:pPr>
      <w:r w:rsidRPr="00B5325D">
        <w:t>DR – Drug Registry;</w:t>
      </w:r>
    </w:p>
    <w:p w14:paraId="72318CAD" w14:textId="77777777" w:rsidR="00B5325D" w:rsidRPr="00B5325D" w:rsidRDefault="00B5325D" w:rsidP="00CE2360">
      <w:pPr>
        <w:numPr>
          <w:ilvl w:val="1"/>
          <w:numId w:val="110"/>
        </w:numPr>
        <w:spacing w:after="160" w:line="259" w:lineRule="auto"/>
        <w:contextualSpacing/>
      </w:pPr>
      <w:r w:rsidRPr="00B5325D">
        <w:t>IG – Implementation Guide.</w:t>
      </w:r>
    </w:p>
    <w:p w14:paraId="71EEAF32" w14:textId="77777777" w:rsidR="00B5325D" w:rsidRPr="00B5325D" w:rsidRDefault="00B5325D" w:rsidP="00CE2360">
      <w:pPr>
        <w:numPr>
          <w:ilvl w:val="0"/>
          <w:numId w:val="130"/>
        </w:numPr>
        <w:contextualSpacing/>
      </w:pPr>
      <w:r w:rsidRPr="00B5325D">
        <w:t xml:space="preserve">BHIS – Basic Health Information System (primary care system) </w:t>
      </w:r>
    </w:p>
    <w:p w14:paraId="6CC41629" w14:textId="77777777" w:rsidR="00B5325D" w:rsidRPr="00B5325D" w:rsidRDefault="00B5325D" w:rsidP="00CE2360">
      <w:pPr>
        <w:numPr>
          <w:ilvl w:val="0"/>
          <w:numId w:val="130"/>
        </w:numPr>
        <w:contextualSpacing/>
      </w:pPr>
      <w:r w:rsidRPr="00B5325D">
        <w:t xml:space="preserve">SMSF – Stock Management System for Pharmaceuticals </w:t>
      </w:r>
    </w:p>
    <w:p w14:paraId="39930C9E" w14:textId="77777777" w:rsidR="00B5325D" w:rsidRPr="00B5325D" w:rsidRDefault="00B5325D" w:rsidP="00CE2360">
      <w:pPr>
        <w:numPr>
          <w:ilvl w:val="0"/>
          <w:numId w:val="130"/>
        </w:numPr>
        <w:contextualSpacing/>
      </w:pPr>
      <w:r w:rsidRPr="00B5325D">
        <w:t xml:space="preserve">MEDLIS – Medical Laboratory Information System </w:t>
      </w:r>
    </w:p>
    <w:p w14:paraId="5957EEA0" w14:textId="77777777" w:rsidR="00B5325D" w:rsidRPr="00B5325D" w:rsidRDefault="00B5325D" w:rsidP="00CE2360">
      <w:pPr>
        <w:numPr>
          <w:ilvl w:val="0"/>
          <w:numId w:val="130"/>
        </w:numPr>
        <w:contextualSpacing/>
      </w:pPr>
      <w:r w:rsidRPr="00B5325D">
        <w:t xml:space="preserve">SMSN – Epidemiological Surveillance System </w:t>
      </w:r>
    </w:p>
    <w:p w14:paraId="1D6A592D" w14:textId="77777777" w:rsidR="00B5325D" w:rsidRPr="00B5325D" w:rsidRDefault="00B5325D" w:rsidP="00CE2360">
      <w:pPr>
        <w:numPr>
          <w:ilvl w:val="0"/>
          <w:numId w:val="130"/>
        </w:numPr>
        <w:contextualSpacing/>
      </w:pPr>
      <w:r w:rsidRPr="00B5325D">
        <w:t xml:space="preserve">Hospital Systems / UCCK Systems – University Clinical Center of Kosovo and regional hospitals systems </w:t>
      </w:r>
    </w:p>
    <w:p w14:paraId="13EBE027" w14:textId="77777777" w:rsidR="00B5325D" w:rsidRPr="00B5325D" w:rsidRDefault="00B5325D" w:rsidP="00CE2360">
      <w:pPr>
        <w:numPr>
          <w:ilvl w:val="0"/>
          <w:numId w:val="130"/>
        </w:numPr>
        <w:contextualSpacing/>
      </w:pPr>
      <w:r w:rsidRPr="00B5325D">
        <w:t xml:space="preserve">PIU – Project Implementation Unit </w:t>
      </w:r>
    </w:p>
    <w:p w14:paraId="5B02F29C" w14:textId="77777777" w:rsidR="00B5325D" w:rsidRPr="00B5325D" w:rsidRDefault="00B5325D" w:rsidP="00CE2360">
      <w:pPr>
        <w:numPr>
          <w:ilvl w:val="0"/>
          <w:numId w:val="130"/>
        </w:numPr>
        <w:contextualSpacing/>
      </w:pPr>
      <w:r w:rsidRPr="00B5325D">
        <w:t xml:space="preserve">QA – Quality Assurance </w:t>
      </w:r>
    </w:p>
    <w:p w14:paraId="1B223E97" w14:textId="77777777" w:rsidR="00B5325D" w:rsidRPr="00B5325D" w:rsidRDefault="00B5325D" w:rsidP="00CE2360">
      <w:pPr>
        <w:numPr>
          <w:ilvl w:val="0"/>
          <w:numId w:val="130"/>
        </w:numPr>
        <w:contextualSpacing/>
      </w:pPr>
      <w:r w:rsidRPr="00B5325D">
        <w:t xml:space="preserve">QC – Quality Control </w:t>
      </w:r>
    </w:p>
    <w:p w14:paraId="0BC7DA43" w14:textId="77777777" w:rsidR="00B5325D" w:rsidRPr="00B5325D" w:rsidRDefault="00B5325D" w:rsidP="00CE2360">
      <w:pPr>
        <w:numPr>
          <w:ilvl w:val="0"/>
          <w:numId w:val="130"/>
        </w:numPr>
        <w:contextualSpacing/>
      </w:pPr>
      <w:r w:rsidRPr="00B5325D">
        <w:t xml:space="preserve">SLA – Service Level Agreement </w:t>
      </w:r>
    </w:p>
    <w:p w14:paraId="0D0CE0AF" w14:textId="77777777" w:rsidR="00B5325D" w:rsidRPr="00B5325D" w:rsidRDefault="00B5325D" w:rsidP="00CE2360">
      <w:pPr>
        <w:numPr>
          <w:ilvl w:val="0"/>
          <w:numId w:val="130"/>
        </w:numPr>
        <w:contextualSpacing/>
      </w:pPr>
      <w:r w:rsidRPr="00B5325D">
        <w:t xml:space="preserve">POS – Point-of-Service / Clinical Applications (EHR/EMR, ePrescribing, eReferral, Screening, Telehealth) </w:t>
      </w:r>
    </w:p>
    <w:p w14:paraId="421450B9" w14:textId="77777777" w:rsidR="00B5325D" w:rsidRPr="00B5325D" w:rsidRDefault="00B5325D" w:rsidP="00CE2360">
      <w:pPr>
        <w:numPr>
          <w:ilvl w:val="0"/>
          <w:numId w:val="130"/>
        </w:numPr>
        <w:contextualSpacing/>
      </w:pPr>
      <w:r w:rsidRPr="00B5325D">
        <w:t xml:space="preserve">UAT – User Acceptance Testing </w:t>
      </w:r>
    </w:p>
    <w:p w14:paraId="2069970F" w14:textId="77777777" w:rsidR="00B5325D" w:rsidRPr="00B5325D" w:rsidRDefault="00B5325D" w:rsidP="00CE2360">
      <w:pPr>
        <w:numPr>
          <w:ilvl w:val="0"/>
          <w:numId w:val="130"/>
        </w:numPr>
        <w:contextualSpacing/>
      </w:pPr>
      <w:r w:rsidRPr="00B5325D">
        <w:t xml:space="preserve">API – Application Programming Interface </w:t>
      </w:r>
    </w:p>
    <w:p w14:paraId="0DD4E9BA" w14:textId="77777777" w:rsidR="00B5325D" w:rsidRPr="00B5325D" w:rsidRDefault="00B5325D" w:rsidP="00CE2360">
      <w:pPr>
        <w:numPr>
          <w:ilvl w:val="0"/>
          <w:numId w:val="130"/>
        </w:numPr>
        <w:contextualSpacing/>
      </w:pPr>
      <w:r w:rsidRPr="00B5325D">
        <w:t xml:space="preserve">EDHS – European Digital Health Standards (or EU transition requirements) </w:t>
      </w:r>
    </w:p>
    <w:p w14:paraId="3C173ECA" w14:textId="77777777" w:rsidR="00B5325D" w:rsidRPr="00B5325D" w:rsidRDefault="00B5325D" w:rsidP="00CE2360">
      <w:pPr>
        <w:numPr>
          <w:ilvl w:val="0"/>
          <w:numId w:val="130"/>
        </w:numPr>
        <w:contextualSpacing/>
      </w:pPr>
      <w:r w:rsidRPr="00B5325D">
        <w:t xml:space="preserve">COTS – Commercial Off-The-Shelf (software components) </w:t>
      </w:r>
    </w:p>
    <w:p w14:paraId="62D0AA64" w14:textId="77777777" w:rsidR="00B5325D" w:rsidRPr="00B5325D" w:rsidRDefault="00B5325D" w:rsidP="00B5325D">
      <w:pPr>
        <w:rPr>
          <w:b/>
          <w:i/>
        </w:rPr>
      </w:pPr>
    </w:p>
    <w:p w14:paraId="4B6E8CBE" w14:textId="77777777" w:rsidR="00E17CBE" w:rsidRPr="00464FCC" w:rsidRDefault="00E17CBE" w:rsidP="00E17CBE">
      <w:pPr>
        <w:rPr>
          <w:b/>
          <w:i/>
        </w:rPr>
      </w:pPr>
    </w:p>
    <w:p w14:paraId="60775211" w14:textId="77777777" w:rsidR="00E20F11" w:rsidRPr="007C1C8C" w:rsidRDefault="00E20F11" w:rsidP="00E20F11"/>
    <w:sectPr w:rsidR="00E20F11" w:rsidRPr="007C1C8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4FF80" w16cex:dateUtc="2026-03-28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C680F" w16cid:durableId="6224FF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41D0" w14:textId="77777777" w:rsidR="00CE2360" w:rsidRDefault="00CE2360" w:rsidP="00391612">
      <w:r>
        <w:separator/>
      </w:r>
    </w:p>
  </w:endnote>
  <w:endnote w:type="continuationSeparator" w:id="0">
    <w:p w14:paraId="52E73A4C" w14:textId="77777777" w:rsidR="00CE2360" w:rsidRDefault="00CE2360" w:rsidP="003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F2756" w14:textId="77777777" w:rsidR="00CE2360" w:rsidRDefault="00CE2360" w:rsidP="00391612">
      <w:r>
        <w:separator/>
      </w:r>
    </w:p>
  </w:footnote>
  <w:footnote w:type="continuationSeparator" w:id="0">
    <w:p w14:paraId="4EFF446B" w14:textId="77777777" w:rsidR="00CE2360" w:rsidRDefault="00CE2360" w:rsidP="003916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002"/>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84932"/>
    <w:multiLevelType w:val="multilevel"/>
    <w:tmpl w:val="B382265C"/>
    <w:lvl w:ilvl="0">
      <w:start w:val="3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1267C1"/>
    <w:multiLevelType w:val="hybridMultilevel"/>
    <w:tmpl w:val="DFD46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D60E5"/>
    <w:multiLevelType w:val="multilevel"/>
    <w:tmpl w:val="0EA42960"/>
    <w:lvl w:ilvl="0">
      <w:start w:val="2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C7A31"/>
    <w:multiLevelType w:val="multilevel"/>
    <w:tmpl w:val="0C0A3F1C"/>
    <w:lvl w:ilvl="0">
      <w:start w:val="4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4CA5DA6"/>
    <w:multiLevelType w:val="multilevel"/>
    <w:tmpl w:val="08E0FA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B750A"/>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832CD"/>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3656C"/>
    <w:multiLevelType w:val="multilevel"/>
    <w:tmpl w:val="5EE4AE74"/>
    <w:lvl w:ilvl="0">
      <w:start w:val="7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9F22B27"/>
    <w:multiLevelType w:val="hybridMultilevel"/>
    <w:tmpl w:val="8AE05ACA"/>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0" w15:restartNumberingAfterBreak="0">
    <w:nsid w:val="0A0F199F"/>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D4F26"/>
    <w:multiLevelType w:val="hybridMultilevel"/>
    <w:tmpl w:val="545A73B4"/>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2" w15:restartNumberingAfterBreak="0">
    <w:nsid w:val="0BB56034"/>
    <w:multiLevelType w:val="multilevel"/>
    <w:tmpl w:val="0D6A0E3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32B34"/>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167DA"/>
    <w:multiLevelType w:val="multilevel"/>
    <w:tmpl w:val="A46690E0"/>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0D6642A6"/>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42D9F"/>
    <w:multiLevelType w:val="multilevel"/>
    <w:tmpl w:val="26D870A4"/>
    <w:lvl w:ilvl="0">
      <w:start w:val="78"/>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0F210D83"/>
    <w:multiLevelType w:val="multilevel"/>
    <w:tmpl w:val="1C6A6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3D3A7C"/>
    <w:multiLevelType w:val="hybridMultilevel"/>
    <w:tmpl w:val="F2F2CAAE"/>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9" w15:restartNumberingAfterBreak="0">
    <w:nsid w:val="0F753757"/>
    <w:multiLevelType w:val="multilevel"/>
    <w:tmpl w:val="7E86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4E1808"/>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F4612C"/>
    <w:multiLevelType w:val="hybridMultilevel"/>
    <w:tmpl w:val="4D869B38"/>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22" w15:restartNumberingAfterBreak="0">
    <w:nsid w:val="12075375"/>
    <w:multiLevelType w:val="multilevel"/>
    <w:tmpl w:val="CF163412"/>
    <w:lvl w:ilvl="0">
      <w:start w:val="2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6418D0"/>
    <w:multiLevelType w:val="hybridMultilevel"/>
    <w:tmpl w:val="388E0CC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24" w15:restartNumberingAfterBreak="0">
    <w:nsid w:val="14EA0C98"/>
    <w:multiLevelType w:val="multilevel"/>
    <w:tmpl w:val="92181A94"/>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25" w15:restartNumberingAfterBreak="0">
    <w:nsid w:val="15493983"/>
    <w:multiLevelType w:val="multilevel"/>
    <w:tmpl w:val="39D861F8"/>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805744"/>
    <w:multiLevelType w:val="multilevel"/>
    <w:tmpl w:val="E304C9A0"/>
    <w:lvl w:ilvl="0">
      <w:start w:val="62"/>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16BD0E3C"/>
    <w:multiLevelType w:val="multilevel"/>
    <w:tmpl w:val="A5624302"/>
    <w:lvl w:ilvl="0">
      <w:start w:val="6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16F62216"/>
    <w:multiLevelType w:val="multilevel"/>
    <w:tmpl w:val="991066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6244B3"/>
    <w:multiLevelType w:val="multilevel"/>
    <w:tmpl w:val="A26A3C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C4791F"/>
    <w:multiLevelType w:val="hybridMultilevel"/>
    <w:tmpl w:val="4202A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7DA4098"/>
    <w:multiLevelType w:val="multilevel"/>
    <w:tmpl w:val="97E4B082"/>
    <w:lvl w:ilvl="0">
      <w:start w:val="7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18430258"/>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2A10B9"/>
    <w:multiLevelType w:val="hybridMultilevel"/>
    <w:tmpl w:val="5450EC2E"/>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4" w15:restartNumberingAfterBreak="0">
    <w:nsid w:val="1AAA2734"/>
    <w:multiLevelType w:val="hybridMultilevel"/>
    <w:tmpl w:val="553C5A34"/>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5" w15:restartNumberingAfterBreak="0">
    <w:nsid w:val="1B246D4A"/>
    <w:multiLevelType w:val="hybridMultilevel"/>
    <w:tmpl w:val="18EEC8D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6" w15:restartNumberingAfterBreak="0">
    <w:nsid w:val="1CB92A0D"/>
    <w:multiLevelType w:val="hybridMultilevel"/>
    <w:tmpl w:val="E29AEE8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37" w15:restartNumberingAfterBreak="0">
    <w:nsid w:val="1EA84873"/>
    <w:multiLevelType w:val="multilevel"/>
    <w:tmpl w:val="38CA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0A38EC"/>
    <w:multiLevelType w:val="hybridMultilevel"/>
    <w:tmpl w:val="DCE6FC2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216D0834"/>
    <w:multiLevelType w:val="hybridMultilevel"/>
    <w:tmpl w:val="A6C2CA8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40" w15:restartNumberingAfterBreak="0">
    <w:nsid w:val="232D2635"/>
    <w:multiLevelType w:val="multilevel"/>
    <w:tmpl w:val="F192F196"/>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BC4E2F"/>
    <w:multiLevelType w:val="multilevel"/>
    <w:tmpl w:val="2DD8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C06D92"/>
    <w:multiLevelType w:val="multilevel"/>
    <w:tmpl w:val="D0D660DC"/>
    <w:lvl w:ilvl="0">
      <w:start w:val="1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5DC223C"/>
    <w:multiLevelType w:val="multilevel"/>
    <w:tmpl w:val="CCBE3BA6"/>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27D26133"/>
    <w:multiLevelType w:val="multilevel"/>
    <w:tmpl w:val="909AD7F4"/>
    <w:lvl w:ilvl="0">
      <w:start w:val="7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282A1DCA"/>
    <w:multiLevelType w:val="multilevel"/>
    <w:tmpl w:val="D978557A"/>
    <w:lvl w:ilvl="0">
      <w:start w:val="3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0E38BC"/>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6D25C5"/>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1122E2"/>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8E5F26"/>
    <w:multiLevelType w:val="multilevel"/>
    <w:tmpl w:val="E1B22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CE2040"/>
    <w:multiLevelType w:val="multilevel"/>
    <w:tmpl w:val="DC8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D81DBA"/>
    <w:multiLevelType w:val="hybridMultilevel"/>
    <w:tmpl w:val="FF3061F6"/>
    <w:lvl w:ilvl="0" w:tplc="8B060B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64CA"/>
    <w:multiLevelType w:val="hybridMultilevel"/>
    <w:tmpl w:val="CFE2B4AE"/>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53" w15:restartNumberingAfterBreak="0">
    <w:nsid w:val="327A3254"/>
    <w:multiLevelType w:val="multilevel"/>
    <w:tmpl w:val="3E3619C2"/>
    <w:lvl w:ilvl="0">
      <w:start w:val="5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4" w15:restartNumberingAfterBreak="0">
    <w:nsid w:val="32DD046F"/>
    <w:multiLevelType w:val="multilevel"/>
    <w:tmpl w:val="7BF2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7F19E1"/>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023AAB"/>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587AF3"/>
    <w:multiLevelType w:val="multilevel"/>
    <w:tmpl w:val="2ACA1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83DC9"/>
    <w:multiLevelType w:val="hybridMultilevel"/>
    <w:tmpl w:val="39281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8B93DE8"/>
    <w:multiLevelType w:val="hybridMultilevel"/>
    <w:tmpl w:val="77EC07D8"/>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0" w15:restartNumberingAfterBreak="0">
    <w:nsid w:val="391B6F8A"/>
    <w:multiLevelType w:val="multilevel"/>
    <w:tmpl w:val="A694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5C4DA1"/>
    <w:multiLevelType w:val="multilevel"/>
    <w:tmpl w:val="D8B66890"/>
    <w:lvl w:ilvl="0">
      <w:start w:val="5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2" w15:restartNumberingAfterBreak="0">
    <w:nsid w:val="399600C5"/>
    <w:multiLevelType w:val="multilevel"/>
    <w:tmpl w:val="53462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D76B8F"/>
    <w:multiLevelType w:val="hybridMultilevel"/>
    <w:tmpl w:val="2216245A"/>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4" w15:restartNumberingAfterBreak="0">
    <w:nsid w:val="3C1B1061"/>
    <w:multiLevelType w:val="multilevel"/>
    <w:tmpl w:val="32BE23C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377086"/>
    <w:multiLevelType w:val="multilevel"/>
    <w:tmpl w:val="1AD26828"/>
    <w:lvl w:ilvl="0">
      <w:start w:val="4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3F3F05BD"/>
    <w:multiLevelType w:val="hybridMultilevel"/>
    <w:tmpl w:val="814A5B2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7" w15:restartNumberingAfterBreak="0">
    <w:nsid w:val="42D40B50"/>
    <w:multiLevelType w:val="multilevel"/>
    <w:tmpl w:val="7D3CE50A"/>
    <w:lvl w:ilvl="0">
      <w:start w:val="4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3DA39C6"/>
    <w:multiLevelType w:val="multilevel"/>
    <w:tmpl w:val="E92A6E0E"/>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44424E7F"/>
    <w:multiLevelType w:val="hybridMultilevel"/>
    <w:tmpl w:val="599AF2C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50757CE"/>
    <w:multiLevelType w:val="multilevel"/>
    <w:tmpl w:val="7258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372174"/>
    <w:multiLevelType w:val="hybridMultilevel"/>
    <w:tmpl w:val="52C277B4"/>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72" w15:restartNumberingAfterBreak="0">
    <w:nsid w:val="45755DFF"/>
    <w:multiLevelType w:val="hybridMultilevel"/>
    <w:tmpl w:val="8B6AD846"/>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73" w15:restartNumberingAfterBreak="0">
    <w:nsid w:val="46BB3BC0"/>
    <w:multiLevelType w:val="multilevel"/>
    <w:tmpl w:val="6C36E614"/>
    <w:lvl w:ilvl="0">
      <w:start w:val="6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473F04C9"/>
    <w:multiLevelType w:val="multilevel"/>
    <w:tmpl w:val="84D67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47827870"/>
    <w:multiLevelType w:val="multilevel"/>
    <w:tmpl w:val="04381A1E"/>
    <w:lvl w:ilvl="0">
      <w:start w:val="6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6" w15:restartNumberingAfterBreak="0">
    <w:nsid w:val="48F22326"/>
    <w:multiLevelType w:val="hybridMultilevel"/>
    <w:tmpl w:val="4852C2F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77" w15:restartNumberingAfterBreak="0">
    <w:nsid w:val="497E1F0A"/>
    <w:multiLevelType w:val="hybridMultilevel"/>
    <w:tmpl w:val="036C9146"/>
    <w:lvl w:ilvl="0" w:tplc="041C0001">
      <w:start w:val="1"/>
      <w:numFmt w:val="bullet"/>
      <w:lvlText w:val=""/>
      <w:lvlJc w:val="left"/>
      <w:pPr>
        <w:ind w:left="1800" w:hanging="360"/>
      </w:pPr>
      <w:rPr>
        <w:rFonts w:ascii="Symbol" w:hAnsi="Symbol" w:hint="default"/>
      </w:rPr>
    </w:lvl>
    <w:lvl w:ilvl="1" w:tplc="041C0003">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78" w15:restartNumberingAfterBreak="0">
    <w:nsid w:val="4A3F148B"/>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2332B8"/>
    <w:multiLevelType w:val="hybridMultilevel"/>
    <w:tmpl w:val="EABA8300"/>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80" w15:restartNumberingAfterBreak="0">
    <w:nsid w:val="4BDF7CC9"/>
    <w:multiLevelType w:val="hybridMultilevel"/>
    <w:tmpl w:val="EAB01798"/>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81" w15:restartNumberingAfterBreak="0">
    <w:nsid w:val="4C2310C8"/>
    <w:multiLevelType w:val="multilevel"/>
    <w:tmpl w:val="E79033F4"/>
    <w:lvl w:ilvl="0">
      <w:start w:val="4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4CDD71E4"/>
    <w:multiLevelType w:val="multilevel"/>
    <w:tmpl w:val="7D5EF2A6"/>
    <w:lvl w:ilvl="0">
      <w:start w:val="3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4EAF4F4E"/>
    <w:multiLevelType w:val="multilevel"/>
    <w:tmpl w:val="FB185190"/>
    <w:lvl w:ilvl="0">
      <w:start w:val="4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A930C4"/>
    <w:multiLevelType w:val="multilevel"/>
    <w:tmpl w:val="84F4EEBA"/>
    <w:lvl w:ilvl="0">
      <w:start w:val="6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5" w15:restartNumberingAfterBreak="0">
    <w:nsid w:val="51CD7B55"/>
    <w:multiLevelType w:val="multilevel"/>
    <w:tmpl w:val="9E0842DA"/>
    <w:lvl w:ilvl="0">
      <w:start w:val="3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1F85F4C"/>
    <w:multiLevelType w:val="multilevel"/>
    <w:tmpl w:val="502AEFA8"/>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18037C"/>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826AA5"/>
    <w:multiLevelType w:val="hybridMultilevel"/>
    <w:tmpl w:val="FF96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FB113F"/>
    <w:multiLevelType w:val="multilevel"/>
    <w:tmpl w:val="A0C2BC86"/>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0" w15:restartNumberingAfterBreak="0">
    <w:nsid w:val="550C6353"/>
    <w:multiLevelType w:val="multilevel"/>
    <w:tmpl w:val="807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56D7B61"/>
    <w:multiLevelType w:val="multilevel"/>
    <w:tmpl w:val="42EE34BC"/>
    <w:lvl w:ilvl="0">
      <w:start w:val="5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55EF0600"/>
    <w:multiLevelType w:val="multilevel"/>
    <w:tmpl w:val="9E4A1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364F9D"/>
    <w:multiLevelType w:val="multilevel"/>
    <w:tmpl w:val="21F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4D28FC"/>
    <w:multiLevelType w:val="hybridMultilevel"/>
    <w:tmpl w:val="1F36B55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95" w15:restartNumberingAfterBreak="0">
    <w:nsid w:val="59D75865"/>
    <w:multiLevelType w:val="multilevel"/>
    <w:tmpl w:val="D98ED4C2"/>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692B50"/>
    <w:multiLevelType w:val="multilevel"/>
    <w:tmpl w:val="B450DF82"/>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CC6C10"/>
    <w:multiLevelType w:val="hybridMultilevel"/>
    <w:tmpl w:val="E702BC60"/>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98" w15:restartNumberingAfterBreak="0">
    <w:nsid w:val="5C520E27"/>
    <w:multiLevelType w:val="multilevel"/>
    <w:tmpl w:val="3B18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D1C560F"/>
    <w:multiLevelType w:val="multilevel"/>
    <w:tmpl w:val="A22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EA165E"/>
    <w:multiLevelType w:val="multilevel"/>
    <w:tmpl w:val="CCFC77F8"/>
    <w:lvl w:ilvl="0">
      <w:start w:val="7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5F200732"/>
    <w:multiLevelType w:val="hybridMultilevel"/>
    <w:tmpl w:val="8F6ED86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02" w15:restartNumberingAfterBreak="0">
    <w:nsid w:val="5F260148"/>
    <w:multiLevelType w:val="hybridMultilevel"/>
    <w:tmpl w:val="2C0044E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03" w15:restartNumberingAfterBreak="0">
    <w:nsid w:val="5F5876C6"/>
    <w:multiLevelType w:val="multilevel"/>
    <w:tmpl w:val="1F7C5A96"/>
    <w:lvl w:ilvl="0">
      <w:start w:val="7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4" w15:restartNumberingAfterBreak="0">
    <w:nsid w:val="60850A44"/>
    <w:multiLevelType w:val="multilevel"/>
    <w:tmpl w:val="6804B912"/>
    <w:lvl w:ilvl="0">
      <w:start w:val="79"/>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15:restartNumberingAfterBreak="0">
    <w:nsid w:val="6142675D"/>
    <w:multiLevelType w:val="multilevel"/>
    <w:tmpl w:val="4F6E98F8"/>
    <w:lvl w:ilvl="0">
      <w:start w:val="3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2163BB2"/>
    <w:multiLevelType w:val="multilevel"/>
    <w:tmpl w:val="9F8E9A1A"/>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2B74FC3"/>
    <w:multiLevelType w:val="multilevel"/>
    <w:tmpl w:val="4808C34C"/>
    <w:lvl w:ilvl="0">
      <w:start w:val="4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8" w15:restartNumberingAfterBreak="0">
    <w:nsid w:val="62D83326"/>
    <w:multiLevelType w:val="hybridMultilevel"/>
    <w:tmpl w:val="12BADEAE"/>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09" w15:restartNumberingAfterBreak="0">
    <w:nsid w:val="637D0099"/>
    <w:multiLevelType w:val="hybridMultilevel"/>
    <w:tmpl w:val="5E22970E"/>
    <w:lvl w:ilvl="0" w:tplc="6CB61C92">
      <w:start w:val="1"/>
      <w:numFmt w:val="decimal"/>
      <w:pStyle w:val="Heading2"/>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6417A2"/>
    <w:multiLevelType w:val="hybridMultilevel"/>
    <w:tmpl w:val="A068477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11" w15:restartNumberingAfterBreak="0">
    <w:nsid w:val="65356AE9"/>
    <w:multiLevelType w:val="hybridMultilevel"/>
    <w:tmpl w:val="A3FCA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2" w15:restartNumberingAfterBreak="0">
    <w:nsid w:val="676C5D07"/>
    <w:multiLevelType w:val="hybridMultilevel"/>
    <w:tmpl w:val="294E1EFE"/>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13" w15:restartNumberingAfterBreak="0">
    <w:nsid w:val="689F7750"/>
    <w:multiLevelType w:val="hybridMultilevel"/>
    <w:tmpl w:val="F06296F6"/>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14" w15:restartNumberingAfterBreak="0">
    <w:nsid w:val="699D7643"/>
    <w:multiLevelType w:val="multilevel"/>
    <w:tmpl w:val="77102980"/>
    <w:lvl w:ilvl="0">
      <w:start w:val="39"/>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15:restartNumberingAfterBreak="0">
    <w:nsid w:val="69CD18FE"/>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A354BD9"/>
    <w:multiLevelType w:val="multilevel"/>
    <w:tmpl w:val="220440AE"/>
    <w:lvl w:ilvl="0">
      <w:start w:val="2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B8F2B84"/>
    <w:multiLevelType w:val="multilevel"/>
    <w:tmpl w:val="AEB4A7EA"/>
    <w:lvl w:ilvl="0">
      <w:start w:val="3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8" w15:restartNumberingAfterBreak="0">
    <w:nsid w:val="6C1067A0"/>
    <w:multiLevelType w:val="multilevel"/>
    <w:tmpl w:val="BC8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6C19F3"/>
    <w:multiLevelType w:val="multilevel"/>
    <w:tmpl w:val="51B2936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E480288"/>
    <w:multiLevelType w:val="multilevel"/>
    <w:tmpl w:val="E93ADCFE"/>
    <w:lvl w:ilvl="0">
      <w:start w:val="4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15:restartNumberingAfterBreak="0">
    <w:nsid w:val="6F637452"/>
    <w:multiLevelType w:val="multilevel"/>
    <w:tmpl w:val="5A68B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A81B69"/>
    <w:multiLevelType w:val="hybridMultilevel"/>
    <w:tmpl w:val="99FE3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3265A70"/>
    <w:multiLevelType w:val="hybridMultilevel"/>
    <w:tmpl w:val="7766EBB2"/>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24" w15:restartNumberingAfterBreak="0">
    <w:nsid w:val="74023D16"/>
    <w:multiLevelType w:val="multilevel"/>
    <w:tmpl w:val="610EEBC2"/>
    <w:lvl w:ilvl="0">
      <w:start w:val="38"/>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15:restartNumberingAfterBreak="0">
    <w:nsid w:val="745F30D5"/>
    <w:multiLevelType w:val="hybridMultilevel"/>
    <w:tmpl w:val="42D67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6543C53"/>
    <w:multiLevelType w:val="multilevel"/>
    <w:tmpl w:val="0E5C324A"/>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5E5888"/>
    <w:multiLevelType w:val="hybridMultilevel"/>
    <w:tmpl w:val="36D858E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28" w15:restartNumberingAfterBreak="0">
    <w:nsid w:val="76D51779"/>
    <w:multiLevelType w:val="multilevel"/>
    <w:tmpl w:val="730AD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2736C7"/>
    <w:multiLevelType w:val="multilevel"/>
    <w:tmpl w:val="54584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BB6A76"/>
    <w:multiLevelType w:val="multilevel"/>
    <w:tmpl w:val="1C680EA6"/>
    <w:lvl w:ilvl="0">
      <w:start w:val="6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1" w15:restartNumberingAfterBreak="0">
    <w:nsid w:val="7F576FB8"/>
    <w:multiLevelType w:val="multilevel"/>
    <w:tmpl w:val="548CFD56"/>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FF47A07"/>
    <w:multiLevelType w:val="multilevel"/>
    <w:tmpl w:val="FB185190"/>
    <w:lvl w:ilvl="0">
      <w:start w:val="4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9"/>
  </w:num>
  <w:num w:numId="2">
    <w:abstractNumId w:val="90"/>
  </w:num>
  <w:num w:numId="3">
    <w:abstractNumId w:val="99"/>
  </w:num>
  <w:num w:numId="4">
    <w:abstractNumId w:val="93"/>
  </w:num>
  <w:num w:numId="5">
    <w:abstractNumId w:val="88"/>
  </w:num>
  <w:num w:numId="6">
    <w:abstractNumId w:val="129"/>
  </w:num>
  <w:num w:numId="7">
    <w:abstractNumId w:val="12"/>
  </w:num>
  <w:num w:numId="8">
    <w:abstractNumId w:val="119"/>
  </w:num>
  <w:num w:numId="9">
    <w:abstractNumId w:val="64"/>
  </w:num>
  <w:num w:numId="10">
    <w:abstractNumId w:val="25"/>
  </w:num>
  <w:num w:numId="11">
    <w:abstractNumId w:val="126"/>
  </w:num>
  <w:num w:numId="12">
    <w:abstractNumId w:val="95"/>
  </w:num>
  <w:num w:numId="13">
    <w:abstractNumId w:val="86"/>
  </w:num>
  <w:num w:numId="14">
    <w:abstractNumId w:val="106"/>
  </w:num>
  <w:num w:numId="15">
    <w:abstractNumId w:val="40"/>
  </w:num>
  <w:num w:numId="16">
    <w:abstractNumId w:val="96"/>
  </w:num>
  <w:num w:numId="17">
    <w:abstractNumId w:val="22"/>
  </w:num>
  <w:num w:numId="18">
    <w:abstractNumId w:val="3"/>
  </w:num>
  <w:num w:numId="19">
    <w:abstractNumId w:val="116"/>
  </w:num>
  <w:num w:numId="20">
    <w:abstractNumId w:val="105"/>
  </w:num>
  <w:num w:numId="21">
    <w:abstractNumId w:val="131"/>
  </w:num>
  <w:num w:numId="22">
    <w:abstractNumId w:val="45"/>
  </w:num>
  <w:num w:numId="23">
    <w:abstractNumId w:val="85"/>
  </w:num>
  <w:num w:numId="24">
    <w:abstractNumId w:val="82"/>
  </w:num>
  <w:num w:numId="25">
    <w:abstractNumId w:val="43"/>
  </w:num>
  <w:num w:numId="26">
    <w:abstractNumId w:val="117"/>
  </w:num>
  <w:num w:numId="27">
    <w:abstractNumId w:val="1"/>
  </w:num>
  <w:num w:numId="28">
    <w:abstractNumId w:val="124"/>
  </w:num>
  <w:num w:numId="29">
    <w:abstractNumId w:val="114"/>
  </w:num>
  <w:num w:numId="30">
    <w:abstractNumId w:val="65"/>
  </w:num>
  <w:num w:numId="31">
    <w:abstractNumId w:val="120"/>
  </w:num>
  <w:num w:numId="32">
    <w:abstractNumId w:val="4"/>
  </w:num>
  <w:num w:numId="33">
    <w:abstractNumId w:val="81"/>
  </w:num>
  <w:num w:numId="34">
    <w:abstractNumId w:val="67"/>
  </w:num>
  <w:num w:numId="35">
    <w:abstractNumId w:val="107"/>
  </w:num>
  <w:num w:numId="36">
    <w:abstractNumId w:val="14"/>
  </w:num>
  <w:num w:numId="37">
    <w:abstractNumId w:val="91"/>
  </w:num>
  <w:num w:numId="38">
    <w:abstractNumId w:val="89"/>
  </w:num>
  <w:num w:numId="39">
    <w:abstractNumId w:val="53"/>
  </w:num>
  <w:num w:numId="40">
    <w:abstractNumId w:val="61"/>
  </w:num>
  <w:num w:numId="41">
    <w:abstractNumId w:val="84"/>
  </w:num>
  <w:num w:numId="42">
    <w:abstractNumId w:val="75"/>
  </w:num>
  <w:num w:numId="43">
    <w:abstractNumId w:val="26"/>
  </w:num>
  <w:num w:numId="44">
    <w:abstractNumId w:val="73"/>
  </w:num>
  <w:num w:numId="45">
    <w:abstractNumId w:val="27"/>
  </w:num>
  <w:num w:numId="46">
    <w:abstractNumId w:val="130"/>
  </w:num>
  <w:num w:numId="47">
    <w:abstractNumId w:val="68"/>
  </w:num>
  <w:num w:numId="48">
    <w:abstractNumId w:val="98"/>
  </w:num>
  <w:num w:numId="49">
    <w:abstractNumId w:val="8"/>
  </w:num>
  <w:num w:numId="50">
    <w:abstractNumId w:val="31"/>
  </w:num>
  <w:num w:numId="51">
    <w:abstractNumId w:val="100"/>
  </w:num>
  <w:num w:numId="52">
    <w:abstractNumId w:val="44"/>
  </w:num>
  <w:num w:numId="53">
    <w:abstractNumId w:val="103"/>
  </w:num>
  <w:num w:numId="54">
    <w:abstractNumId w:val="16"/>
  </w:num>
  <w:num w:numId="55">
    <w:abstractNumId w:val="104"/>
  </w:num>
  <w:num w:numId="56">
    <w:abstractNumId w:val="38"/>
  </w:num>
  <w:num w:numId="57">
    <w:abstractNumId w:val="77"/>
  </w:num>
  <w:num w:numId="58">
    <w:abstractNumId w:val="21"/>
  </w:num>
  <w:num w:numId="59">
    <w:abstractNumId w:val="33"/>
  </w:num>
  <w:num w:numId="60">
    <w:abstractNumId w:val="112"/>
  </w:num>
  <w:num w:numId="61">
    <w:abstractNumId w:val="79"/>
  </w:num>
  <w:num w:numId="62">
    <w:abstractNumId w:val="35"/>
  </w:num>
  <w:num w:numId="63">
    <w:abstractNumId w:val="127"/>
  </w:num>
  <w:num w:numId="64">
    <w:abstractNumId w:val="59"/>
  </w:num>
  <w:num w:numId="65">
    <w:abstractNumId w:val="102"/>
  </w:num>
  <w:num w:numId="66">
    <w:abstractNumId w:val="39"/>
  </w:num>
  <w:num w:numId="67">
    <w:abstractNumId w:val="101"/>
  </w:num>
  <w:num w:numId="68">
    <w:abstractNumId w:val="63"/>
  </w:num>
  <w:num w:numId="69">
    <w:abstractNumId w:val="23"/>
  </w:num>
  <w:num w:numId="70">
    <w:abstractNumId w:val="113"/>
  </w:num>
  <w:num w:numId="71">
    <w:abstractNumId w:val="110"/>
  </w:num>
  <w:num w:numId="72">
    <w:abstractNumId w:val="123"/>
  </w:num>
  <w:num w:numId="73">
    <w:abstractNumId w:val="52"/>
  </w:num>
  <w:num w:numId="74">
    <w:abstractNumId w:val="11"/>
  </w:num>
  <w:num w:numId="75">
    <w:abstractNumId w:val="34"/>
  </w:num>
  <w:num w:numId="76">
    <w:abstractNumId w:val="36"/>
  </w:num>
  <w:num w:numId="77">
    <w:abstractNumId w:val="66"/>
  </w:num>
  <w:num w:numId="78">
    <w:abstractNumId w:val="108"/>
  </w:num>
  <w:num w:numId="79">
    <w:abstractNumId w:val="72"/>
  </w:num>
  <w:num w:numId="80">
    <w:abstractNumId w:val="94"/>
  </w:num>
  <w:num w:numId="81">
    <w:abstractNumId w:val="76"/>
  </w:num>
  <w:num w:numId="82">
    <w:abstractNumId w:val="71"/>
  </w:num>
  <w:num w:numId="83">
    <w:abstractNumId w:val="9"/>
  </w:num>
  <w:num w:numId="84">
    <w:abstractNumId w:val="18"/>
  </w:num>
  <w:num w:numId="85">
    <w:abstractNumId w:val="80"/>
  </w:num>
  <w:num w:numId="86">
    <w:abstractNumId w:val="97"/>
  </w:num>
  <w:num w:numId="87">
    <w:abstractNumId w:val="83"/>
  </w:num>
  <w:num w:numId="88">
    <w:abstractNumId w:val="132"/>
  </w:num>
  <w:num w:numId="89">
    <w:abstractNumId w:val="5"/>
  </w:num>
  <w:num w:numId="90">
    <w:abstractNumId w:val="28"/>
  </w:num>
  <w:num w:numId="91">
    <w:abstractNumId w:val="29"/>
  </w:num>
  <w:num w:numId="92">
    <w:abstractNumId w:val="118"/>
  </w:num>
  <w:num w:numId="93">
    <w:abstractNumId w:val="0"/>
  </w:num>
  <w:num w:numId="94">
    <w:abstractNumId w:val="56"/>
  </w:num>
  <w:num w:numId="95">
    <w:abstractNumId w:val="78"/>
  </w:num>
  <w:num w:numId="96">
    <w:abstractNumId w:val="13"/>
  </w:num>
  <w:num w:numId="97">
    <w:abstractNumId w:val="87"/>
  </w:num>
  <w:num w:numId="98">
    <w:abstractNumId w:val="10"/>
  </w:num>
  <w:num w:numId="99">
    <w:abstractNumId w:val="46"/>
  </w:num>
  <w:num w:numId="100">
    <w:abstractNumId w:val="7"/>
  </w:num>
  <w:num w:numId="101">
    <w:abstractNumId w:val="48"/>
  </w:num>
  <w:num w:numId="102">
    <w:abstractNumId w:val="15"/>
  </w:num>
  <w:num w:numId="103">
    <w:abstractNumId w:val="20"/>
  </w:num>
  <w:num w:numId="104">
    <w:abstractNumId w:val="6"/>
  </w:num>
  <w:num w:numId="105">
    <w:abstractNumId w:val="32"/>
  </w:num>
  <w:num w:numId="106">
    <w:abstractNumId w:val="55"/>
  </w:num>
  <w:num w:numId="107">
    <w:abstractNumId w:val="115"/>
  </w:num>
  <w:num w:numId="108">
    <w:abstractNumId w:val="47"/>
  </w:num>
  <w:num w:numId="1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1"/>
  </w:num>
  <w:num w:numId="111">
    <w:abstractNumId w:val="70"/>
  </w:num>
  <w:num w:numId="112">
    <w:abstractNumId w:val="50"/>
  </w:num>
  <w:num w:numId="113">
    <w:abstractNumId w:val="19"/>
  </w:num>
  <w:num w:numId="114">
    <w:abstractNumId w:val="37"/>
  </w:num>
  <w:num w:numId="115">
    <w:abstractNumId w:val="92"/>
  </w:num>
  <w:num w:numId="116">
    <w:abstractNumId w:val="57"/>
  </w:num>
  <w:num w:numId="117">
    <w:abstractNumId w:val="60"/>
  </w:num>
  <w:num w:numId="118">
    <w:abstractNumId w:val="49"/>
  </w:num>
  <w:num w:numId="119">
    <w:abstractNumId w:val="128"/>
  </w:num>
  <w:num w:numId="120">
    <w:abstractNumId w:val="62"/>
  </w:num>
  <w:num w:numId="121">
    <w:abstractNumId w:val="54"/>
  </w:num>
  <w:num w:numId="122">
    <w:abstractNumId w:val="17"/>
  </w:num>
  <w:num w:numId="123">
    <w:abstractNumId w:val="41"/>
  </w:num>
  <w:num w:numId="124">
    <w:abstractNumId w:val="125"/>
  </w:num>
  <w:num w:numId="125">
    <w:abstractNumId w:val="58"/>
  </w:num>
  <w:num w:numId="126">
    <w:abstractNumId w:val="122"/>
  </w:num>
  <w:num w:numId="127">
    <w:abstractNumId w:val="24"/>
  </w:num>
  <w:num w:numId="128">
    <w:abstractNumId w:val="111"/>
  </w:num>
  <w:num w:numId="129">
    <w:abstractNumId w:val="2"/>
  </w:num>
  <w:num w:numId="130">
    <w:abstractNumId w:val="69"/>
  </w:num>
  <w:num w:numId="131">
    <w:abstractNumId w:val="30"/>
  </w:num>
  <w:num w:numId="132">
    <w:abstractNumId w:val="42"/>
  </w:num>
  <w:num w:numId="133">
    <w:abstractNumId w:val="5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7E"/>
    <w:rsid w:val="0001671E"/>
    <w:rsid w:val="00061D34"/>
    <w:rsid w:val="000B0FAE"/>
    <w:rsid w:val="000D3FD6"/>
    <w:rsid w:val="00173F83"/>
    <w:rsid w:val="00220289"/>
    <w:rsid w:val="0022547F"/>
    <w:rsid w:val="00261C51"/>
    <w:rsid w:val="002A4E4E"/>
    <w:rsid w:val="002A7949"/>
    <w:rsid w:val="002D768F"/>
    <w:rsid w:val="00336ACF"/>
    <w:rsid w:val="00376DD9"/>
    <w:rsid w:val="00391612"/>
    <w:rsid w:val="003A69C4"/>
    <w:rsid w:val="003D5195"/>
    <w:rsid w:val="004076BB"/>
    <w:rsid w:val="00470AE0"/>
    <w:rsid w:val="004B26D4"/>
    <w:rsid w:val="004B566C"/>
    <w:rsid w:val="004D3E02"/>
    <w:rsid w:val="004D56F2"/>
    <w:rsid w:val="00593790"/>
    <w:rsid w:val="005C1EEF"/>
    <w:rsid w:val="00613056"/>
    <w:rsid w:val="006251B4"/>
    <w:rsid w:val="00692576"/>
    <w:rsid w:val="006B5063"/>
    <w:rsid w:val="007272C8"/>
    <w:rsid w:val="00772FEB"/>
    <w:rsid w:val="007B0645"/>
    <w:rsid w:val="007C1C8C"/>
    <w:rsid w:val="007D2D7E"/>
    <w:rsid w:val="007E2ECD"/>
    <w:rsid w:val="00841376"/>
    <w:rsid w:val="008442B3"/>
    <w:rsid w:val="008B4EAA"/>
    <w:rsid w:val="008C2737"/>
    <w:rsid w:val="008D1B4E"/>
    <w:rsid w:val="008E7437"/>
    <w:rsid w:val="00980689"/>
    <w:rsid w:val="00984E3D"/>
    <w:rsid w:val="009934D7"/>
    <w:rsid w:val="009A2112"/>
    <w:rsid w:val="009C76B3"/>
    <w:rsid w:val="009E090A"/>
    <w:rsid w:val="009E66D1"/>
    <w:rsid w:val="00A41EB6"/>
    <w:rsid w:val="00AA3578"/>
    <w:rsid w:val="00AE0650"/>
    <w:rsid w:val="00B5325D"/>
    <w:rsid w:val="00BA701C"/>
    <w:rsid w:val="00BB1124"/>
    <w:rsid w:val="00BB71D9"/>
    <w:rsid w:val="00BC270D"/>
    <w:rsid w:val="00BE5CF8"/>
    <w:rsid w:val="00BF087F"/>
    <w:rsid w:val="00C12588"/>
    <w:rsid w:val="00C37C81"/>
    <w:rsid w:val="00C63FFD"/>
    <w:rsid w:val="00CE2360"/>
    <w:rsid w:val="00CE5D85"/>
    <w:rsid w:val="00CF584A"/>
    <w:rsid w:val="00D33390"/>
    <w:rsid w:val="00D46236"/>
    <w:rsid w:val="00D5711C"/>
    <w:rsid w:val="00DC2F19"/>
    <w:rsid w:val="00DD23A4"/>
    <w:rsid w:val="00DD2DB8"/>
    <w:rsid w:val="00DE5A94"/>
    <w:rsid w:val="00DF5B69"/>
    <w:rsid w:val="00E17CBE"/>
    <w:rsid w:val="00E20F11"/>
    <w:rsid w:val="00E309BC"/>
    <w:rsid w:val="00ED7ABD"/>
    <w:rsid w:val="00F2209D"/>
    <w:rsid w:val="00F4191C"/>
    <w:rsid w:val="00F52CEE"/>
    <w:rsid w:val="00F61905"/>
    <w:rsid w:val="00FF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56A7"/>
  <w15:chartTrackingRefBased/>
  <w15:docId w15:val="{BFFADF27-5AEA-4BC9-9C98-A4D53B7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E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7C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984E3D"/>
    <w:pPr>
      <w:keepNext/>
      <w:numPr>
        <w:numId w:val="1"/>
      </w:numPr>
      <w:spacing w:before="240" w:after="60"/>
      <w:outlineLvl w:val="1"/>
    </w:pPr>
    <w:rPr>
      <w:rFonts w:ascii="Arial" w:hAnsi="Arial"/>
      <w:b/>
      <w:i/>
      <w:szCs w:val="20"/>
      <w:lang w:val="en-AU"/>
    </w:rPr>
  </w:style>
  <w:style w:type="paragraph" w:styleId="Heading3">
    <w:name w:val="heading 3"/>
    <w:basedOn w:val="Normal"/>
    <w:next w:val="Normal"/>
    <w:link w:val="Heading3Char"/>
    <w:uiPriority w:val="9"/>
    <w:semiHidden/>
    <w:unhideWhenUsed/>
    <w:qFormat/>
    <w:rsid w:val="007C1C8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84E3D"/>
    <w:rPr>
      <w:color w:val="0000FF"/>
      <w:u w:val="single"/>
    </w:rPr>
  </w:style>
  <w:style w:type="paragraph" w:styleId="BodyText">
    <w:name w:val="Body Text"/>
    <w:basedOn w:val="Normal"/>
    <w:link w:val="BodyTextChar"/>
    <w:semiHidden/>
    <w:unhideWhenUsed/>
    <w:rsid w:val="00984E3D"/>
    <w:pPr>
      <w:spacing w:after="120"/>
    </w:pPr>
    <w:rPr>
      <w:rFonts w:eastAsia="Calibri"/>
    </w:rPr>
  </w:style>
  <w:style w:type="character" w:customStyle="1" w:styleId="BodyTextChar">
    <w:name w:val="Body Text Char"/>
    <w:basedOn w:val="DefaultParagraphFont"/>
    <w:link w:val="BodyText"/>
    <w:semiHidden/>
    <w:rsid w:val="00984E3D"/>
    <w:rPr>
      <w:rFonts w:ascii="Times New Roman" w:eastAsia="Calibri" w:hAnsi="Times New Roman" w:cs="Times New Roman"/>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984E3D"/>
    <w:rPr>
      <w:rFonts w:ascii="Arial" w:hAnsi="Arial" w:cs="Arial"/>
      <w:szCs w:val="24"/>
      <w:lang w:val="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84E3D"/>
    <w:pPr>
      <w:spacing w:after="160"/>
      <w:ind w:left="720"/>
      <w:contextualSpacing/>
    </w:pPr>
    <w:rPr>
      <w:rFonts w:ascii="Arial" w:eastAsiaTheme="minorHAnsi" w:hAnsi="Arial" w:cs="Arial"/>
      <w:sz w:val="22"/>
      <w:lang w:val="en-GB"/>
    </w:rPr>
  </w:style>
  <w:style w:type="paragraph" w:customStyle="1" w:styleId="Default">
    <w:name w:val="Default"/>
    <w:rsid w:val="00984E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
    <w:name w:val="Char Char Char Char"/>
    <w:basedOn w:val="Normal"/>
    <w:rsid w:val="00984E3D"/>
    <w:rPr>
      <w:lang w:val="pl-PL" w:eastAsia="pl-PL"/>
    </w:rPr>
  </w:style>
  <w:style w:type="character" w:customStyle="1" w:styleId="Heading2Char">
    <w:name w:val="Heading 2 Char"/>
    <w:basedOn w:val="DefaultParagraphFont"/>
    <w:link w:val="Heading2"/>
    <w:rsid w:val="00984E3D"/>
    <w:rPr>
      <w:rFonts w:ascii="Arial" w:eastAsia="Times New Roman" w:hAnsi="Arial" w:cs="Times New Roman"/>
      <w:b/>
      <w:i/>
      <w:sz w:val="24"/>
      <w:szCs w:val="20"/>
      <w:lang w:val="en-AU"/>
    </w:rPr>
  </w:style>
  <w:style w:type="character" w:styleId="FollowedHyperlink">
    <w:name w:val="FollowedHyperlink"/>
    <w:basedOn w:val="DefaultParagraphFont"/>
    <w:uiPriority w:val="99"/>
    <w:semiHidden/>
    <w:unhideWhenUsed/>
    <w:rsid w:val="00980689"/>
    <w:rPr>
      <w:color w:val="954F72" w:themeColor="followedHyperlink"/>
      <w:u w:val="single"/>
    </w:rPr>
  </w:style>
  <w:style w:type="paragraph" w:styleId="Header">
    <w:name w:val="header"/>
    <w:basedOn w:val="Normal"/>
    <w:link w:val="HeaderChar"/>
    <w:uiPriority w:val="99"/>
    <w:unhideWhenUsed/>
    <w:rsid w:val="00391612"/>
    <w:pPr>
      <w:tabs>
        <w:tab w:val="center" w:pos="4680"/>
        <w:tab w:val="right" w:pos="9360"/>
      </w:tabs>
    </w:pPr>
  </w:style>
  <w:style w:type="character" w:customStyle="1" w:styleId="HeaderChar">
    <w:name w:val="Header Char"/>
    <w:basedOn w:val="DefaultParagraphFont"/>
    <w:link w:val="Header"/>
    <w:uiPriority w:val="99"/>
    <w:rsid w:val="003916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1612"/>
    <w:pPr>
      <w:tabs>
        <w:tab w:val="center" w:pos="4680"/>
        <w:tab w:val="right" w:pos="9360"/>
      </w:tabs>
    </w:pPr>
  </w:style>
  <w:style w:type="character" w:customStyle="1" w:styleId="FooterChar">
    <w:name w:val="Footer Char"/>
    <w:basedOn w:val="DefaultParagraphFont"/>
    <w:link w:val="Footer"/>
    <w:uiPriority w:val="99"/>
    <w:rsid w:val="00391612"/>
    <w:rPr>
      <w:rFonts w:ascii="Times New Roman" w:eastAsia="Times New Roman" w:hAnsi="Times New Roman" w:cs="Times New Roman"/>
      <w:sz w:val="24"/>
      <w:szCs w:val="24"/>
    </w:rPr>
  </w:style>
  <w:style w:type="paragraph" w:styleId="NormalWeb">
    <w:name w:val="Normal (Web)"/>
    <w:basedOn w:val="Normal"/>
    <w:uiPriority w:val="99"/>
    <w:unhideWhenUsed/>
    <w:rsid w:val="008442B3"/>
    <w:pPr>
      <w:spacing w:before="100" w:beforeAutospacing="1" w:after="100" w:afterAutospacing="1"/>
    </w:pPr>
  </w:style>
  <w:style w:type="character" w:styleId="Strong">
    <w:name w:val="Strong"/>
    <w:basedOn w:val="DefaultParagraphFont"/>
    <w:uiPriority w:val="22"/>
    <w:qFormat/>
    <w:rsid w:val="008442B3"/>
    <w:rPr>
      <w:b/>
      <w:bCs/>
    </w:rPr>
  </w:style>
  <w:style w:type="character" w:customStyle="1" w:styleId="Heading3Char">
    <w:name w:val="Heading 3 Char"/>
    <w:basedOn w:val="DefaultParagraphFont"/>
    <w:link w:val="Heading3"/>
    <w:uiPriority w:val="9"/>
    <w:semiHidden/>
    <w:rsid w:val="007C1C8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CE5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D85"/>
    <w:rPr>
      <w:rFonts w:ascii="Segoe UI" w:eastAsia="Times New Roman" w:hAnsi="Segoe UI" w:cs="Segoe UI"/>
      <w:sz w:val="18"/>
      <w:szCs w:val="18"/>
    </w:rPr>
  </w:style>
  <w:style w:type="paragraph" w:styleId="Revision">
    <w:name w:val="Revision"/>
    <w:hidden/>
    <w:uiPriority w:val="99"/>
    <w:semiHidden/>
    <w:rsid w:val="003A69C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711C"/>
    <w:rPr>
      <w:sz w:val="16"/>
      <w:szCs w:val="16"/>
    </w:rPr>
  </w:style>
  <w:style w:type="paragraph" w:styleId="CommentText">
    <w:name w:val="annotation text"/>
    <w:basedOn w:val="Normal"/>
    <w:link w:val="CommentTextChar"/>
    <w:uiPriority w:val="99"/>
    <w:unhideWhenUsed/>
    <w:rsid w:val="00D5711C"/>
    <w:rPr>
      <w:sz w:val="20"/>
      <w:szCs w:val="20"/>
    </w:rPr>
  </w:style>
  <w:style w:type="character" w:customStyle="1" w:styleId="CommentTextChar">
    <w:name w:val="Comment Text Char"/>
    <w:basedOn w:val="DefaultParagraphFont"/>
    <w:link w:val="CommentText"/>
    <w:uiPriority w:val="99"/>
    <w:rsid w:val="00D571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11C"/>
    <w:rPr>
      <w:b/>
      <w:bCs/>
    </w:rPr>
  </w:style>
  <w:style w:type="character" w:customStyle="1" w:styleId="CommentSubjectChar">
    <w:name w:val="Comment Subject Char"/>
    <w:basedOn w:val="CommentTextChar"/>
    <w:link w:val="CommentSubject"/>
    <w:uiPriority w:val="99"/>
    <w:semiHidden/>
    <w:rsid w:val="00D5711C"/>
    <w:rPr>
      <w:rFonts w:ascii="Times New Roman" w:eastAsia="Times New Roman" w:hAnsi="Times New Roman" w:cs="Times New Roman"/>
      <w:b/>
      <w:bCs/>
      <w:sz w:val="20"/>
      <w:szCs w:val="20"/>
    </w:rPr>
  </w:style>
  <w:style w:type="paragraph" w:customStyle="1" w:styleId="HeadingSections">
    <w:name w:val="Heading Sections"/>
    <w:basedOn w:val="Heading1"/>
    <w:link w:val="HeadingSectionsChar"/>
    <w:qFormat/>
    <w:rsid w:val="00E17CBE"/>
    <w:pPr>
      <w:tabs>
        <w:tab w:val="center" w:pos="4680"/>
        <w:tab w:val="left" w:pos="7960"/>
      </w:tabs>
      <w:spacing w:before="0"/>
      <w:jc w:val="center"/>
    </w:pPr>
    <w:rPr>
      <w:rFonts w:ascii="Times New Roman Bold" w:eastAsia="Times New Roman" w:hAnsi="Times New Roman Bold" w:cs="Times New Roman"/>
      <w:b/>
      <w:szCs w:val="20"/>
    </w:rPr>
  </w:style>
  <w:style w:type="character" w:customStyle="1" w:styleId="HeadingSectionsChar">
    <w:name w:val="Heading Sections Char"/>
    <w:basedOn w:val="Heading1Char"/>
    <w:link w:val="HeadingSections"/>
    <w:rsid w:val="00E17CBE"/>
    <w:rPr>
      <w:rFonts w:ascii="Times New Roman Bold" w:eastAsia="Times New Roman" w:hAnsi="Times New Roman Bold" w:cs="Times New Roman"/>
      <w:b/>
      <w:color w:val="2E74B5" w:themeColor="accent1" w:themeShade="BF"/>
      <w:sz w:val="32"/>
      <w:szCs w:val="20"/>
    </w:rPr>
  </w:style>
  <w:style w:type="character" w:customStyle="1" w:styleId="Heading1Char">
    <w:name w:val="Heading 1 Char"/>
    <w:basedOn w:val="DefaultParagraphFont"/>
    <w:link w:val="Heading1"/>
    <w:uiPriority w:val="9"/>
    <w:rsid w:val="00E17C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3376">
      <w:bodyDiv w:val="1"/>
      <w:marLeft w:val="0"/>
      <w:marRight w:val="0"/>
      <w:marTop w:val="0"/>
      <w:marBottom w:val="0"/>
      <w:divBdr>
        <w:top w:val="none" w:sz="0" w:space="0" w:color="auto"/>
        <w:left w:val="none" w:sz="0" w:space="0" w:color="auto"/>
        <w:bottom w:val="none" w:sz="0" w:space="0" w:color="auto"/>
        <w:right w:val="none" w:sz="0" w:space="0" w:color="auto"/>
      </w:divBdr>
    </w:div>
    <w:div w:id="749546877">
      <w:bodyDiv w:val="1"/>
      <w:marLeft w:val="0"/>
      <w:marRight w:val="0"/>
      <w:marTop w:val="0"/>
      <w:marBottom w:val="0"/>
      <w:divBdr>
        <w:top w:val="none" w:sz="0" w:space="0" w:color="auto"/>
        <w:left w:val="none" w:sz="0" w:space="0" w:color="auto"/>
        <w:bottom w:val="none" w:sz="0" w:space="0" w:color="auto"/>
        <w:right w:val="none" w:sz="0" w:space="0" w:color="auto"/>
      </w:divBdr>
    </w:div>
    <w:div w:id="816145347">
      <w:bodyDiv w:val="1"/>
      <w:marLeft w:val="0"/>
      <w:marRight w:val="0"/>
      <w:marTop w:val="0"/>
      <w:marBottom w:val="0"/>
      <w:divBdr>
        <w:top w:val="none" w:sz="0" w:space="0" w:color="auto"/>
        <w:left w:val="none" w:sz="0" w:space="0" w:color="auto"/>
        <w:bottom w:val="none" w:sz="0" w:space="0" w:color="auto"/>
        <w:right w:val="none" w:sz="0" w:space="0" w:color="auto"/>
      </w:divBdr>
    </w:div>
    <w:div w:id="988246135">
      <w:bodyDiv w:val="1"/>
      <w:marLeft w:val="0"/>
      <w:marRight w:val="0"/>
      <w:marTop w:val="0"/>
      <w:marBottom w:val="0"/>
      <w:divBdr>
        <w:top w:val="none" w:sz="0" w:space="0" w:color="auto"/>
        <w:left w:val="none" w:sz="0" w:space="0" w:color="auto"/>
        <w:bottom w:val="none" w:sz="0" w:space="0" w:color="auto"/>
        <w:right w:val="none" w:sz="0" w:space="0" w:color="auto"/>
      </w:divBdr>
    </w:div>
    <w:div w:id="1050152632">
      <w:bodyDiv w:val="1"/>
      <w:marLeft w:val="0"/>
      <w:marRight w:val="0"/>
      <w:marTop w:val="0"/>
      <w:marBottom w:val="0"/>
      <w:divBdr>
        <w:top w:val="none" w:sz="0" w:space="0" w:color="auto"/>
        <w:left w:val="none" w:sz="0" w:space="0" w:color="auto"/>
        <w:bottom w:val="none" w:sz="0" w:space="0" w:color="auto"/>
        <w:right w:val="none" w:sz="0" w:space="0" w:color="auto"/>
      </w:divBdr>
    </w:div>
    <w:div w:id="1176187796">
      <w:bodyDiv w:val="1"/>
      <w:marLeft w:val="0"/>
      <w:marRight w:val="0"/>
      <w:marTop w:val="0"/>
      <w:marBottom w:val="0"/>
      <w:divBdr>
        <w:top w:val="none" w:sz="0" w:space="0" w:color="auto"/>
        <w:left w:val="none" w:sz="0" w:space="0" w:color="auto"/>
        <w:bottom w:val="none" w:sz="0" w:space="0" w:color="auto"/>
        <w:right w:val="none" w:sz="0" w:space="0" w:color="auto"/>
      </w:divBdr>
    </w:div>
    <w:div w:id="1179926077">
      <w:bodyDiv w:val="1"/>
      <w:marLeft w:val="0"/>
      <w:marRight w:val="0"/>
      <w:marTop w:val="0"/>
      <w:marBottom w:val="0"/>
      <w:divBdr>
        <w:top w:val="none" w:sz="0" w:space="0" w:color="auto"/>
        <w:left w:val="none" w:sz="0" w:space="0" w:color="auto"/>
        <w:bottom w:val="none" w:sz="0" w:space="0" w:color="auto"/>
        <w:right w:val="none" w:sz="0" w:space="0" w:color="auto"/>
      </w:divBdr>
    </w:div>
    <w:div w:id="1380010743">
      <w:bodyDiv w:val="1"/>
      <w:marLeft w:val="0"/>
      <w:marRight w:val="0"/>
      <w:marTop w:val="0"/>
      <w:marBottom w:val="0"/>
      <w:divBdr>
        <w:top w:val="none" w:sz="0" w:space="0" w:color="auto"/>
        <w:left w:val="none" w:sz="0" w:space="0" w:color="auto"/>
        <w:bottom w:val="none" w:sz="0" w:space="0" w:color="auto"/>
        <w:right w:val="none" w:sz="0" w:space="0" w:color="auto"/>
      </w:divBdr>
    </w:div>
    <w:div w:id="1473478197">
      <w:bodyDiv w:val="1"/>
      <w:marLeft w:val="0"/>
      <w:marRight w:val="0"/>
      <w:marTop w:val="0"/>
      <w:marBottom w:val="0"/>
      <w:divBdr>
        <w:top w:val="none" w:sz="0" w:space="0" w:color="auto"/>
        <w:left w:val="none" w:sz="0" w:space="0" w:color="auto"/>
        <w:bottom w:val="none" w:sz="0" w:space="0" w:color="auto"/>
        <w:right w:val="none" w:sz="0" w:space="0" w:color="auto"/>
      </w:divBdr>
    </w:div>
    <w:div w:id="1621180615">
      <w:bodyDiv w:val="1"/>
      <w:marLeft w:val="0"/>
      <w:marRight w:val="0"/>
      <w:marTop w:val="0"/>
      <w:marBottom w:val="0"/>
      <w:divBdr>
        <w:top w:val="none" w:sz="0" w:space="0" w:color="auto"/>
        <w:left w:val="none" w:sz="0" w:space="0" w:color="auto"/>
        <w:bottom w:val="none" w:sz="0" w:space="0" w:color="auto"/>
        <w:right w:val="none" w:sz="0" w:space="0" w:color="auto"/>
      </w:divBdr>
    </w:div>
    <w:div w:id="1699817369">
      <w:bodyDiv w:val="1"/>
      <w:marLeft w:val="0"/>
      <w:marRight w:val="0"/>
      <w:marTop w:val="0"/>
      <w:marBottom w:val="0"/>
      <w:divBdr>
        <w:top w:val="none" w:sz="0" w:space="0" w:color="auto"/>
        <w:left w:val="none" w:sz="0" w:space="0" w:color="auto"/>
        <w:bottom w:val="none" w:sz="0" w:space="0" w:color="auto"/>
        <w:right w:val="none" w:sz="0" w:space="0" w:color="auto"/>
      </w:divBdr>
    </w:div>
    <w:div w:id="1836259628">
      <w:bodyDiv w:val="1"/>
      <w:marLeft w:val="0"/>
      <w:marRight w:val="0"/>
      <w:marTop w:val="0"/>
      <w:marBottom w:val="0"/>
      <w:divBdr>
        <w:top w:val="none" w:sz="0" w:space="0" w:color="auto"/>
        <w:left w:val="none" w:sz="0" w:space="0" w:color="auto"/>
        <w:bottom w:val="none" w:sz="0" w:space="0" w:color="auto"/>
        <w:right w:val="none" w:sz="0" w:space="0" w:color="auto"/>
      </w:divBdr>
      <w:divsChild>
        <w:div w:id="141585972">
          <w:marLeft w:val="0"/>
          <w:marRight w:val="0"/>
          <w:marTop w:val="0"/>
          <w:marBottom w:val="0"/>
          <w:divBdr>
            <w:top w:val="none" w:sz="0" w:space="0" w:color="auto"/>
            <w:left w:val="none" w:sz="0" w:space="0" w:color="auto"/>
            <w:bottom w:val="none" w:sz="0" w:space="0" w:color="auto"/>
            <w:right w:val="none" w:sz="0" w:space="0" w:color="auto"/>
          </w:divBdr>
          <w:divsChild>
            <w:div w:id="1029376791">
              <w:marLeft w:val="0"/>
              <w:marRight w:val="0"/>
              <w:marTop w:val="0"/>
              <w:marBottom w:val="0"/>
              <w:divBdr>
                <w:top w:val="none" w:sz="0" w:space="0" w:color="auto"/>
                <w:left w:val="none" w:sz="0" w:space="0" w:color="auto"/>
                <w:bottom w:val="none" w:sz="0" w:space="0" w:color="auto"/>
                <w:right w:val="none" w:sz="0" w:space="0" w:color="auto"/>
              </w:divBdr>
              <w:divsChild>
                <w:div w:id="1242760027">
                  <w:marLeft w:val="0"/>
                  <w:marRight w:val="0"/>
                  <w:marTop w:val="0"/>
                  <w:marBottom w:val="0"/>
                  <w:divBdr>
                    <w:top w:val="none" w:sz="0" w:space="0" w:color="auto"/>
                    <w:left w:val="none" w:sz="0" w:space="0" w:color="auto"/>
                    <w:bottom w:val="none" w:sz="0" w:space="0" w:color="auto"/>
                    <w:right w:val="none" w:sz="0" w:space="0" w:color="auto"/>
                  </w:divBdr>
                  <w:divsChild>
                    <w:div w:id="1653635256">
                      <w:marLeft w:val="0"/>
                      <w:marRight w:val="0"/>
                      <w:marTop w:val="0"/>
                      <w:marBottom w:val="0"/>
                      <w:divBdr>
                        <w:top w:val="none" w:sz="0" w:space="0" w:color="auto"/>
                        <w:left w:val="none" w:sz="0" w:space="0" w:color="auto"/>
                        <w:bottom w:val="none" w:sz="0" w:space="0" w:color="auto"/>
                        <w:right w:val="none" w:sz="0" w:space="0" w:color="auto"/>
                      </w:divBdr>
                      <w:divsChild>
                        <w:div w:id="1480489011">
                          <w:marLeft w:val="0"/>
                          <w:marRight w:val="0"/>
                          <w:marTop w:val="0"/>
                          <w:marBottom w:val="0"/>
                          <w:divBdr>
                            <w:top w:val="none" w:sz="0" w:space="0" w:color="auto"/>
                            <w:left w:val="none" w:sz="0" w:space="0" w:color="auto"/>
                            <w:bottom w:val="none" w:sz="0" w:space="0" w:color="auto"/>
                            <w:right w:val="none" w:sz="0" w:space="0" w:color="auto"/>
                          </w:divBdr>
                          <w:divsChild>
                            <w:div w:id="278953798">
                              <w:marLeft w:val="0"/>
                              <w:marRight w:val="0"/>
                              <w:marTop w:val="0"/>
                              <w:marBottom w:val="0"/>
                              <w:divBdr>
                                <w:top w:val="none" w:sz="0" w:space="0" w:color="auto"/>
                                <w:left w:val="none" w:sz="0" w:space="0" w:color="auto"/>
                                <w:bottom w:val="none" w:sz="0" w:space="0" w:color="auto"/>
                                <w:right w:val="none" w:sz="0" w:space="0" w:color="auto"/>
                              </w:divBdr>
                              <w:divsChild>
                                <w:div w:id="1617102362">
                                  <w:marLeft w:val="0"/>
                                  <w:marRight w:val="0"/>
                                  <w:marTop w:val="0"/>
                                  <w:marBottom w:val="0"/>
                                  <w:divBdr>
                                    <w:top w:val="none" w:sz="0" w:space="0" w:color="auto"/>
                                    <w:left w:val="none" w:sz="0" w:space="0" w:color="auto"/>
                                    <w:bottom w:val="none" w:sz="0" w:space="0" w:color="auto"/>
                                    <w:right w:val="none" w:sz="0" w:space="0" w:color="auto"/>
                                  </w:divBdr>
                                  <w:divsChild>
                                    <w:div w:id="5829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3377">
          <w:marLeft w:val="0"/>
          <w:marRight w:val="0"/>
          <w:marTop w:val="0"/>
          <w:marBottom w:val="0"/>
          <w:divBdr>
            <w:top w:val="none" w:sz="0" w:space="0" w:color="auto"/>
            <w:left w:val="none" w:sz="0" w:space="0" w:color="auto"/>
            <w:bottom w:val="none" w:sz="0" w:space="0" w:color="auto"/>
            <w:right w:val="none" w:sz="0" w:space="0" w:color="auto"/>
          </w:divBdr>
          <w:divsChild>
            <w:div w:id="1418943925">
              <w:marLeft w:val="0"/>
              <w:marRight w:val="0"/>
              <w:marTop w:val="0"/>
              <w:marBottom w:val="0"/>
              <w:divBdr>
                <w:top w:val="none" w:sz="0" w:space="0" w:color="auto"/>
                <w:left w:val="none" w:sz="0" w:space="0" w:color="auto"/>
                <w:bottom w:val="none" w:sz="0" w:space="0" w:color="auto"/>
                <w:right w:val="none" w:sz="0" w:space="0" w:color="auto"/>
              </w:divBdr>
              <w:divsChild>
                <w:div w:id="1663042536">
                  <w:marLeft w:val="0"/>
                  <w:marRight w:val="0"/>
                  <w:marTop w:val="0"/>
                  <w:marBottom w:val="0"/>
                  <w:divBdr>
                    <w:top w:val="none" w:sz="0" w:space="0" w:color="auto"/>
                    <w:left w:val="none" w:sz="0" w:space="0" w:color="auto"/>
                    <w:bottom w:val="none" w:sz="0" w:space="0" w:color="auto"/>
                    <w:right w:val="none" w:sz="0" w:space="0" w:color="auto"/>
                  </w:divBdr>
                  <w:divsChild>
                    <w:div w:id="1614286484">
                      <w:marLeft w:val="0"/>
                      <w:marRight w:val="0"/>
                      <w:marTop w:val="0"/>
                      <w:marBottom w:val="0"/>
                      <w:divBdr>
                        <w:top w:val="none" w:sz="0" w:space="0" w:color="auto"/>
                        <w:left w:val="none" w:sz="0" w:space="0" w:color="auto"/>
                        <w:bottom w:val="none" w:sz="0" w:space="0" w:color="auto"/>
                        <w:right w:val="none" w:sz="0" w:space="0" w:color="auto"/>
                      </w:divBdr>
                      <w:divsChild>
                        <w:div w:id="231237672">
                          <w:marLeft w:val="0"/>
                          <w:marRight w:val="0"/>
                          <w:marTop w:val="0"/>
                          <w:marBottom w:val="0"/>
                          <w:divBdr>
                            <w:top w:val="none" w:sz="0" w:space="0" w:color="auto"/>
                            <w:left w:val="none" w:sz="0" w:space="0" w:color="auto"/>
                            <w:bottom w:val="none" w:sz="0" w:space="0" w:color="auto"/>
                            <w:right w:val="none" w:sz="0" w:space="0" w:color="auto"/>
                          </w:divBdr>
                          <w:divsChild>
                            <w:div w:id="165942924">
                              <w:marLeft w:val="0"/>
                              <w:marRight w:val="0"/>
                              <w:marTop w:val="0"/>
                              <w:marBottom w:val="0"/>
                              <w:divBdr>
                                <w:top w:val="none" w:sz="0" w:space="0" w:color="auto"/>
                                <w:left w:val="none" w:sz="0" w:space="0" w:color="auto"/>
                                <w:bottom w:val="none" w:sz="0" w:space="0" w:color="auto"/>
                                <w:right w:val="none" w:sz="0" w:space="0" w:color="auto"/>
                              </w:divBdr>
                              <w:divsChild>
                                <w:div w:id="459492771">
                                  <w:marLeft w:val="0"/>
                                  <w:marRight w:val="0"/>
                                  <w:marTop w:val="0"/>
                                  <w:marBottom w:val="0"/>
                                  <w:divBdr>
                                    <w:top w:val="none" w:sz="0" w:space="0" w:color="auto"/>
                                    <w:left w:val="none" w:sz="0" w:space="0" w:color="auto"/>
                                    <w:bottom w:val="none" w:sz="0" w:space="0" w:color="auto"/>
                                    <w:right w:val="none" w:sz="0" w:space="0" w:color="auto"/>
                                  </w:divBdr>
                                  <w:divsChild>
                                    <w:div w:id="51734629">
                                      <w:marLeft w:val="0"/>
                                      <w:marRight w:val="0"/>
                                      <w:marTop w:val="0"/>
                                      <w:marBottom w:val="0"/>
                                      <w:divBdr>
                                        <w:top w:val="none" w:sz="0" w:space="0" w:color="auto"/>
                                        <w:left w:val="none" w:sz="0" w:space="0" w:color="auto"/>
                                        <w:bottom w:val="none" w:sz="0" w:space="0" w:color="auto"/>
                                        <w:right w:val="none" w:sz="0" w:space="0" w:color="auto"/>
                                      </w:divBdr>
                                      <w:divsChild>
                                        <w:div w:id="1644575855">
                                          <w:marLeft w:val="0"/>
                                          <w:marRight w:val="0"/>
                                          <w:marTop w:val="0"/>
                                          <w:marBottom w:val="0"/>
                                          <w:divBdr>
                                            <w:top w:val="none" w:sz="0" w:space="0" w:color="auto"/>
                                            <w:left w:val="none" w:sz="0" w:space="0" w:color="auto"/>
                                            <w:bottom w:val="none" w:sz="0" w:space="0" w:color="auto"/>
                                            <w:right w:val="none" w:sz="0" w:space="0" w:color="auto"/>
                                          </w:divBdr>
                                          <w:divsChild>
                                            <w:div w:id="18954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80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ol.duli@rks-gov.net" TargetMode="External"/><Relationship Id="rId3" Type="http://schemas.openxmlformats.org/officeDocument/2006/relationships/settings" Target="settings.xml"/><Relationship Id="rId7" Type="http://schemas.openxmlformats.org/officeDocument/2006/relationships/hyperlink" Target="mailto:blerim.cerkini@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6431</Words>
  <Characters>36659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Vjollca.Aliu</dc:creator>
  <cp:keywords/>
  <dc:description/>
  <cp:lastModifiedBy>Blerim Çerkini</cp:lastModifiedBy>
  <cp:revision>6</cp:revision>
  <dcterms:created xsi:type="dcterms:W3CDTF">2026-05-13T15:10:00Z</dcterms:created>
  <dcterms:modified xsi:type="dcterms:W3CDTF">2026-05-15T10:56:00Z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cf92d4f7-365e-4acc-8fd7-f65e01089fe3</vt:lpwstr>
  </property>
</Properties>
</file>